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8FFB0" w14:textId="77777777" w:rsidR="00075BD0" w:rsidRDefault="00075BD0" w:rsidP="00075BD0"/>
    <w:p w14:paraId="1D03E0FD" w14:textId="77777777" w:rsidR="00E76CD3" w:rsidRDefault="00E76CD3" w:rsidP="00E76CD3"/>
    <w:p w14:paraId="38DB1E0E" w14:textId="77777777" w:rsidR="00E76CD3" w:rsidRDefault="00E76CD3" w:rsidP="00E76CD3"/>
    <w:p w14:paraId="491CD840" w14:textId="77777777" w:rsidR="00E76CD3" w:rsidRPr="008B6D45" w:rsidRDefault="00E76CD3" w:rsidP="00E76CD3">
      <w:pPr>
        <w:jc w:val="center"/>
        <w:rPr>
          <w:sz w:val="36"/>
          <w:szCs w:val="36"/>
        </w:rPr>
      </w:pPr>
      <w:r w:rsidRPr="008B6D45">
        <w:rPr>
          <w:sz w:val="28"/>
          <w:szCs w:val="28"/>
        </w:rPr>
        <w:t>7.1.</w:t>
      </w:r>
      <w:r>
        <w:rPr>
          <w:sz w:val="28"/>
          <w:szCs w:val="28"/>
        </w:rPr>
        <w:t>7</w:t>
      </w:r>
      <w:r w:rsidRPr="008B6D45">
        <w:rPr>
          <w:sz w:val="28"/>
          <w:szCs w:val="28"/>
        </w:rPr>
        <w:t xml:space="preserve"> Implementation of the Energy Efficiency Directive, the Energy Performance of Buildings Directive, Ecodesign and energy labelling legislation</w:t>
      </w:r>
    </w:p>
    <w:p w14:paraId="72A0EEEE" w14:textId="77777777" w:rsidR="00E76CD3" w:rsidRDefault="00E76CD3" w:rsidP="00E76CD3"/>
    <w:tbl>
      <w:tblPr>
        <w:tblStyle w:val="GridTable1Light"/>
        <w:tblW w:w="8926" w:type="dxa"/>
        <w:tblLook w:val="0400" w:firstRow="0" w:lastRow="0" w:firstColumn="0" w:lastColumn="0" w:noHBand="0" w:noVBand="1"/>
      </w:tblPr>
      <w:tblGrid>
        <w:gridCol w:w="2122"/>
        <w:gridCol w:w="6804"/>
      </w:tblGrid>
      <w:tr w:rsidR="00E76CD3" w:rsidRPr="002C702E" w14:paraId="7CA130DD" w14:textId="77777777" w:rsidTr="003348A5">
        <w:trPr>
          <w:trHeight w:val="399"/>
        </w:trPr>
        <w:tc>
          <w:tcPr>
            <w:tcW w:w="2122" w:type="dxa"/>
            <w:shd w:val="clear" w:color="auto" w:fill="0E2841" w:themeFill="text2"/>
          </w:tcPr>
          <w:p w14:paraId="22FB1EF1" w14:textId="77777777" w:rsidR="00E76CD3" w:rsidRPr="002C702E" w:rsidRDefault="00E76CD3" w:rsidP="003348A5">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16DECE68" w14:textId="77777777" w:rsidR="00E76CD3" w:rsidRPr="008A26A0" w:rsidRDefault="00E76CD3" w:rsidP="003348A5">
            <w:pPr>
              <w:spacing w:before="120" w:after="120"/>
              <w:rPr>
                <w:rFonts w:ascii="Aptos" w:eastAsia="Times New Roman" w:hAnsi="Aptos" w:cs="Times New Roman"/>
                <w:color w:val="000000"/>
                <w:kern w:val="0"/>
                <w:sz w:val="20"/>
                <w:szCs w:val="20"/>
                <w:lang w:val="en-GB" w:eastAsia="en-GB"/>
                <w14:ligatures w14:val="none"/>
              </w:rPr>
            </w:pPr>
            <w:r w:rsidRPr="008A26A0">
              <w:rPr>
                <w:rFonts w:ascii="Aptos" w:eastAsia="Times New Roman" w:hAnsi="Aptos" w:cs="Times New Roman"/>
                <w:color w:val="000000"/>
                <w:kern w:val="0"/>
                <w:sz w:val="20"/>
                <w:szCs w:val="20"/>
                <w:lang w:val="en-GB" w:eastAsia="en-GB"/>
                <w14:ligatures w14:val="none"/>
              </w:rPr>
              <w:t xml:space="preserve">7.1. </w:t>
            </w:r>
            <w:r w:rsidRPr="008A26A0">
              <w:rPr>
                <w:sz w:val="20"/>
                <w:szCs w:val="20"/>
              </w:rPr>
              <w:t>Energy sector transformation</w:t>
            </w:r>
          </w:p>
        </w:tc>
      </w:tr>
      <w:tr w:rsidR="00E76CD3" w:rsidRPr="002C702E" w14:paraId="0834E76A" w14:textId="77777777" w:rsidTr="003348A5">
        <w:trPr>
          <w:trHeight w:val="393"/>
        </w:trPr>
        <w:tc>
          <w:tcPr>
            <w:tcW w:w="2122" w:type="dxa"/>
            <w:shd w:val="clear" w:color="auto" w:fill="0E2841" w:themeFill="text2"/>
          </w:tcPr>
          <w:p w14:paraId="4EDC7A42" w14:textId="77777777" w:rsidR="00E76CD3" w:rsidRPr="002C702E" w:rsidRDefault="00E76CD3" w:rsidP="003348A5">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7B4B0612" w14:textId="77777777" w:rsidR="00E76CD3" w:rsidRPr="002F77AD" w:rsidRDefault="00E76CD3" w:rsidP="003348A5">
            <w:pPr>
              <w:spacing w:before="120" w:after="120"/>
              <w:rPr>
                <w:sz w:val="20"/>
                <w:szCs w:val="20"/>
              </w:rPr>
            </w:pPr>
            <w:r>
              <w:rPr>
                <w:sz w:val="20"/>
                <w:szCs w:val="20"/>
              </w:rPr>
              <w:t>7</w:t>
            </w:r>
            <w:r w:rsidRPr="008A26A0">
              <w:rPr>
                <w:sz w:val="20"/>
                <w:szCs w:val="20"/>
              </w:rPr>
              <w:t>.1.</w:t>
            </w:r>
            <w:r>
              <w:rPr>
                <w:sz w:val="20"/>
                <w:szCs w:val="20"/>
              </w:rPr>
              <w:t>7</w:t>
            </w:r>
            <w:r w:rsidRPr="008A26A0">
              <w:rPr>
                <w:sz w:val="20"/>
                <w:szCs w:val="20"/>
              </w:rPr>
              <w:t xml:space="preserve"> </w:t>
            </w:r>
            <w:r w:rsidRPr="00C35957">
              <w:rPr>
                <w:sz w:val="20"/>
                <w:szCs w:val="20"/>
              </w:rPr>
              <w:t>Implementation of the Energy Efficiency Directive, the Energy Performance of Buildings Directive</w:t>
            </w:r>
            <w:r>
              <w:rPr>
                <w:sz w:val="20"/>
                <w:szCs w:val="20"/>
              </w:rPr>
              <w:t xml:space="preserve"> (EPBD)</w:t>
            </w:r>
            <w:r w:rsidRPr="00C35957">
              <w:rPr>
                <w:sz w:val="20"/>
                <w:szCs w:val="20"/>
              </w:rPr>
              <w:t>, Ecodesign and energy labelling legislation</w:t>
            </w:r>
          </w:p>
        </w:tc>
      </w:tr>
      <w:tr w:rsidR="00E76CD3" w:rsidRPr="002C702E" w14:paraId="18EBF183" w14:textId="77777777" w:rsidTr="003348A5">
        <w:trPr>
          <w:trHeight w:val="393"/>
        </w:trPr>
        <w:tc>
          <w:tcPr>
            <w:tcW w:w="2122" w:type="dxa"/>
            <w:shd w:val="clear" w:color="auto" w:fill="0E2841" w:themeFill="text2"/>
          </w:tcPr>
          <w:p w14:paraId="709E7F2F" w14:textId="77777777" w:rsidR="00E76CD3" w:rsidRPr="002C702E" w:rsidRDefault="00E76CD3" w:rsidP="003348A5">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0B821853" w14:textId="77777777" w:rsidR="00E76CD3" w:rsidRPr="002F77AD" w:rsidRDefault="00E76CD3" w:rsidP="003348A5">
            <w:pPr>
              <w:spacing w:before="120" w:after="120"/>
              <w:rPr>
                <w:rFonts w:ascii="Aptos" w:eastAsia="Times New Roman" w:hAnsi="Aptos" w:cs="Times New Roman"/>
                <w:color w:val="000000"/>
                <w:kern w:val="0"/>
                <w:sz w:val="20"/>
                <w:szCs w:val="20"/>
                <w:lang w:val="en-GB" w:eastAsia="en-GB"/>
                <w14:ligatures w14:val="none"/>
              </w:rPr>
            </w:pPr>
            <w:r w:rsidRPr="002F77AD">
              <w:rPr>
                <w:sz w:val="20"/>
                <w:szCs w:val="20"/>
              </w:rPr>
              <w:t xml:space="preserve">Degree of implementation of the EPBD </w:t>
            </w:r>
          </w:p>
        </w:tc>
      </w:tr>
      <w:tr w:rsidR="00E76CD3" w:rsidRPr="002C702E" w14:paraId="6B1CC8F3" w14:textId="77777777" w:rsidTr="003348A5">
        <w:trPr>
          <w:trHeight w:val="759"/>
        </w:trPr>
        <w:tc>
          <w:tcPr>
            <w:tcW w:w="2122" w:type="dxa"/>
            <w:shd w:val="clear" w:color="auto" w:fill="0E2841" w:themeFill="text2"/>
          </w:tcPr>
          <w:p w14:paraId="2E9CDB66" w14:textId="77777777" w:rsidR="00E76CD3" w:rsidRPr="002C702E" w:rsidRDefault="00E76CD3" w:rsidP="003348A5">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 Step</w:t>
            </w:r>
          </w:p>
        </w:tc>
        <w:tc>
          <w:tcPr>
            <w:tcW w:w="6804" w:type="dxa"/>
          </w:tcPr>
          <w:p w14:paraId="5299A35B" w14:textId="22B8DB9F" w:rsidR="00E76CD3" w:rsidRPr="00C05457" w:rsidRDefault="00E76CD3" w:rsidP="00C05457">
            <w:pPr>
              <w:pStyle w:val="ListParagraph"/>
              <w:numPr>
                <w:ilvl w:val="0"/>
                <w:numId w:val="18"/>
              </w:numPr>
              <w:spacing w:before="120" w:after="120"/>
              <w:jc w:val="both"/>
              <w:rPr>
                <w:rFonts w:ascii="Aptos" w:eastAsia="Times New Roman" w:hAnsi="Aptos" w:cs="Times New Roman"/>
                <w:color w:val="000000"/>
                <w:kern w:val="0"/>
                <w:sz w:val="20"/>
                <w:szCs w:val="20"/>
                <w:lang w:val="en-GB" w:eastAsia="en-GB"/>
                <w14:ligatures w14:val="none"/>
              </w:rPr>
            </w:pPr>
            <w:r w:rsidRPr="00C05457">
              <w:rPr>
                <w:rFonts w:ascii="Aptos" w:eastAsia="Times New Roman" w:hAnsi="Aptos" w:cs="Times New Roman"/>
                <w:color w:val="000000"/>
                <w:kern w:val="0"/>
                <w:sz w:val="20"/>
                <w:szCs w:val="20"/>
                <w:lang w:val="en-GB" w:eastAsia="en-GB"/>
                <w14:ligatures w14:val="none"/>
              </w:rPr>
              <w:t xml:space="preserve">The EPBD is implemented: recast of minimum energy performance standards for non-residential buildings and setting nearly zero energy building standards for new buildings, issuing of EPC in line with EPBD; independent control systems for EPC and inspection reports for heating and cooling systems. </w:t>
            </w:r>
          </w:p>
        </w:tc>
      </w:tr>
      <w:tr w:rsidR="00E76CD3" w:rsidRPr="002C702E" w14:paraId="07A157F2" w14:textId="77777777" w:rsidTr="003348A5">
        <w:trPr>
          <w:trHeight w:val="559"/>
        </w:trPr>
        <w:tc>
          <w:tcPr>
            <w:tcW w:w="2122" w:type="dxa"/>
            <w:shd w:val="clear" w:color="auto" w:fill="0E2841" w:themeFill="text2"/>
          </w:tcPr>
          <w:p w14:paraId="4A560BE3" w14:textId="77777777" w:rsidR="00E76CD3" w:rsidRPr="002C702E" w:rsidRDefault="00E76CD3" w:rsidP="003348A5">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Step deadline</w:t>
            </w:r>
          </w:p>
        </w:tc>
        <w:tc>
          <w:tcPr>
            <w:tcW w:w="6804" w:type="dxa"/>
          </w:tcPr>
          <w:p w14:paraId="6212D5CF" w14:textId="77777777" w:rsidR="00E76CD3" w:rsidRPr="002C702E" w:rsidRDefault="00E76CD3" w:rsidP="003348A5">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December 2025</w:t>
            </w:r>
          </w:p>
        </w:tc>
      </w:tr>
      <w:tr w:rsidR="00E76CD3" w:rsidRPr="002C702E" w14:paraId="52B13C7A" w14:textId="77777777" w:rsidTr="003348A5">
        <w:trPr>
          <w:trHeight w:val="553"/>
        </w:trPr>
        <w:tc>
          <w:tcPr>
            <w:tcW w:w="2122" w:type="dxa"/>
            <w:shd w:val="clear" w:color="auto" w:fill="0E2841" w:themeFill="text2"/>
          </w:tcPr>
          <w:p w14:paraId="53B7880C" w14:textId="77777777" w:rsidR="00E76CD3" w:rsidRPr="002C702E" w:rsidRDefault="00E76CD3" w:rsidP="003348A5">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Step value in EUR</w:t>
            </w:r>
          </w:p>
        </w:tc>
        <w:tc>
          <w:tcPr>
            <w:tcW w:w="6804" w:type="dxa"/>
          </w:tcPr>
          <w:p w14:paraId="42EB29D9" w14:textId="77777777" w:rsidR="00E76CD3" w:rsidRPr="008A26A0" w:rsidRDefault="00E76CD3" w:rsidP="003348A5">
            <w:pPr>
              <w:spacing w:before="120" w:after="120"/>
              <w:rPr>
                <w:rFonts w:ascii="Aptos" w:eastAsia="Times New Roman" w:hAnsi="Aptos" w:cs="Times New Roman"/>
                <w:color w:val="000000"/>
                <w:kern w:val="0"/>
                <w:sz w:val="20"/>
                <w:szCs w:val="20"/>
                <w:lang w:val="en-GB" w:eastAsia="en-GB"/>
                <w14:ligatures w14:val="none"/>
              </w:rPr>
            </w:pPr>
            <w:r w:rsidRPr="009D2E05">
              <w:rPr>
                <w:sz w:val="20"/>
                <w:szCs w:val="20"/>
              </w:rPr>
              <w:t xml:space="preserve">13,587,623.37 </w:t>
            </w:r>
          </w:p>
        </w:tc>
      </w:tr>
      <w:tr w:rsidR="00E76CD3" w:rsidRPr="002C702E" w14:paraId="0AA7DA93" w14:textId="77777777" w:rsidTr="003348A5">
        <w:trPr>
          <w:trHeight w:val="535"/>
        </w:trPr>
        <w:tc>
          <w:tcPr>
            <w:tcW w:w="2122" w:type="dxa"/>
            <w:shd w:val="clear" w:color="auto" w:fill="0E2841" w:themeFill="text2"/>
          </w:tcPr>
          <w:p w14:paraId="7469FB92" w14:textId="77777777" w:rsidR="00E76CD3" w:rsidRPr="002C702E" w:rsidRDefault="00E76CD3" w:rsidP="003348A5">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Responsible</w:t>
            </w:r>
          </w:p>
        </w:tc>
        <w:tc>
          <w:tcPr>
            <w:tcW w:w="6804" w:type="dxa"/>
          </w:tcPr>
          <w:p w14:paraId="20E4F56B" w14:textId="77777777" w:rsidR="00E76CD3" w:rsidRPr="002C702E" w:rsidRDefault="00E76CD3" w:rsidP="003348A5">
            <w:pPr>
              <w:spacing w:before="120" w:after="120"/>
              <w:rPr>
                <w:rFonts w:ascii="Aptos" w:eastAsia="Times New Roman" w:hAnsi="Aptos" w:cs="Times New Roman"/>
                <w:color w:val="000000"/>
                <w:kern w:val="0"/>
                <w:sz w:val="20"/>
                <w:szCs w:val="20"/>
                <w:lang w:val="en-GB" w:eastAsia="en-GB"/>
                <w14:ligatures w14:val="none"/>
              </w:rPr>
            </w:pPr>
            <w:r>
              <w:rPr>
                <w:rFonts w:ascii="Aptos" w:eastAsia="Times New Roman" w:hAnsi="Aptos" w:cs="Times New Roman"/>
                <w:color w:val="000000"/>
                <w:kern w:val="0"/>
                <w:sz w:val="20"/>
                <w:szCs w:val="20"/>
                <w:lang w:val="en-GB" w:eastAsia="en-GB"/>
                <w14:ligatures w14:val="none"/>
              </w:rPr>
              <w:t>Ministry of Construction, Transport and Infrastructure and the Ministry of Mining and Energy</w:t>
            </w:r>
          </w:p>
        </w:tc>
      </w:tr>
      <w:tr w:rsidR="00E76CD3" w:rsidRPr="002C702E" w14:paraId="59FEA56B" w14:textId="77777777" w:rsidTr="003348A5">
        <w:trPr>
          <w:trHeight w:val="583"/>
        </w:trPr>
        <w:tc>
          <w:tcPr>
            <w:tcW w:w="2122" w:type="dxa"/>
            <w:shd w:val="clear" w:color="auto" w:fill="0E2841" w:themeFill="text2"/>
          </w:tcPr>
          <w:p w14:paraId="6478DE91" w14:textId="77777777" w:rsidR="00E76CD3" w:rsidRPr="002C702E" w:rsidRDefault="00E76CD3" w:rsidP="003348A5">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Baseline</w:t>
            </w:r>
          </w:p>
        </w:tc>
        <w:tc>
          <w:tcPr>
            <w:tcW w:w="6804" w:type="dxa"/>
          </w:tcPr>
          <w:p w14:paraId="0BFF3E1D" w14:textId="77777777" w:rsidR="00E76CD3" w:rsidRPr="002C702E" w:rsidRDefault="00E76CD3" w:rsidP="003348A5">
            <w:pPr>
              <w:spacing w:before="120" w:after="120"/>
              <w:jc w:val="both"/>
              <w:rPr>
                <w:rFonts w:ascii="Aptos" w:eastAsia="Times New Roman" w:hAnsi="Aptos" w:cs="Times New Roman"/>
                <w:color w:val="000000"/>
                <w:kern w:val="0"/>
                <w:sz w:val="20"/>
                <w:szCs w:val="20"/>
                <w:lang w:val="en-GB" w:eastAsia="en-GB"/>
                <w14:ligatures w14:val="none"/>
              </w:rPr>
            </w:pPr>
            <w:r w:rsidRPr="007A4C81">
              <w:rPr>
                <w:rFonts w:ascii="Aptos" w:eastAsia="Times New Roman" w:hAnsi="Aptos" w:cs="Times New Roman"/>
                <w:color w:val="000000"/>
                <w:kern w:val="0"/>
                <w:sz w:val="20"/>
                <w:szCs w:val="20"/>
                <w:lang w:val="en-GB" w:eastAsia="en-GB"/>
                <w14:ligatures w14:val="none"/>
              </w:rPr>
              <w:t>CREP system is operational</w:t>
            </w:r>
          </w:p>
        </w:tc>
      </w:tr>
      <w:tr w:rsidR="00E76CD3" w:rsidRPr="002C702E" w14:paraId="4CE6922D" w14:textId="77777777" w:rsidTr="003348A5">
        <w:trPr>
          <w:trHeight w:val="577"/>
        </w:trPr>
        <w:tc>
          <w:tcPr>
            <w:tcW w:w="2122" w:type="dxa"/>
            <w:shd w:val="clear" w:color="auto" w:fill="0E2841" w:themeFill="text2"/>
          </w:tcPr>
          <w:p w14:paraId="191CCD45" w14:textId="77777777" w:rsidR="00E76CD3" w:rsidRPr="002C702E" w:rsidRDefault="00E76CD3" w:rsidP="003348A5">
            <w:pPr>
              <w:spacing w:before="120" w:after="120"/>
              <w:rPr>
                <w:rFonts w:ascii="Aptos" w:eastAsia="Times New Roman" w:hAnsi="Aptos" w:cs="Times New Roman"/>
                <w:b/>
                <w:bCs/>
                <w:color w:val="000000"/>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Sources of verification</w:t>
            </w:r>
          </w:p>
        </w:tc>
        <w:tc>
          <w:tcPr>
            <w:tcW w:w="6804" w:type="dxa"/>
          </w:tcPr>
          <w:p w14:paraId="00FB89EA" w14:textId="77777777" w:rsidR="00E76CD3" w:rsidRPr="002C702E" w:rsidRDefault="00E76CD3" w:rsidP="003348A5">
            <w:pPr>
              <w:spacing w:before="120" w:after="120"/>
              <w:rPr>
                <w:rFonts w:ascii="Aptos" w:eastAsia="Times New Roman" w:hAnsi="Aptos" w:cs="Times New Roman"/>
                <w:color w:val="000000"/>
                <w:kern w:val="0"/>
                <w:sz w:val="20"/>
                <w:szCs w:val="20"/>
                <w:lang w:val="en-GB" w:eastAsia="en-GB"/>
                <w14:ligatures w14:val="none"/>
              </w:rPr>
            </w:pPr>
            <w:r w:rsidRPr="002C5429">
              <w:rPr>
                <w:sz w:val="20"/>
                <w:szCs w:val="21"/>
              </w:rPr>
              <w:t>Approval of the Methodology by the Government of RS</w:t>
            </w:r>
            <w:r>
              <w:rPr>
                <w:sz w:val="20"/>
                <w:szCs w:val="21"/>
              </w:rPr>
              <w:t>.</w:t>
            </w:r>
          </w:p>
        </w:tc>
      </w:tr>
    </w:tbl>
    <w:p w14:paraId="44829CB8" w14:textId="77777777" w:rsidR="00E76CD3" w:rsidRPr="002C702E" w:rsidRDefault="00E76CD3" w:rsidP="00E76CD3">
      <w:pPr>
        <w:rPr>
          <w:lang w:val="en-GB"/>
        </w:rPr>
      </w:pPr>
    </w:p>
    <w:p w14:paraId="61C31203" w14:textId="77777777" w:rsidR="00E76CD3" w:rsidRPr="002C702E" w:rsidRDefault="00E76CD3" w:rsidP="00E76CD3">
      <w:pPr>
        <w:pStyle w:val="Heading1"/>
        <w:numPr>
          <w:ilvl w:val="0"/>
          <w:numId w:val="13"/>
        </w:numPr>
        <w:ind w:left="1080"/>
        <w:rPr>
          <w:lang w:val="en-GB"/>
        </w:rPr>
      </w:pPr>
      <w:r w:rsidRPr="002C702E">
        <w:rPr>
          <w:lang w:val="en-GB"/>
        </w:rPr>
        <w:t>Analysis</w:t>
      </w:r>
    </w:p>
    <w:p w14:paraId="1396EEC2" w14:textId="77777777" w:rsidR="00E76CD3" w:rsidRPr="002C702E" w:rsidRDefault="00E76CD3" w:rsidP="00E76CD3">
      <w:pPr>
        <w:rPr>
          <w:lang w:val="en-GB"/>
        </w:rPr>
      </w:pPr>
    </w:p>
    <w:tbl>
      <w:tblPr>
        <w:tblStyle w:val="GridTable1Light"/>
        <w:tblW w:w="0" w:type="auto"/>
        <w:tblLook w:val="0480" w:firstRow="0" w:lastRow="0" w:firstColumn="1" w:lastColumn="0" w:noHBand="0" w:noVBand="1"/>
      </w:tblPr>
      <w:tblGrid>
        <w:gridCol w:w="1210"/>
        <w:gridCol w:w="7806"/>
      </w:tblGrid>
      <w:tr w:rsidR="00E76CD3" w:rsidRPr="002C702E" w14:paraId="4D042F50" w14:textId="77777777" w:rsidTr="003348A5">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0525102" w14:textId="77777777" w:rsidR="00E76CD3" w:rsidRPr="002C702E" w:rsidRDefault="00E76CD3" w:rsidP="003348A5">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Define step milestones</w:t>
            </w:r>
          </w:p>
        </w:tc>
        <w:tc>
          <w:tcPr>
            <w:tcW w:w="6753" w:type="dxa"/>
          </w:tcPr>
          <w:p w14:paraId="10FA8CFA" w14:textId="77777777" w:rsidR="00E76CD3" w:rsidRPr="00FC4B87" w:rsidRDefault="00E76CD3" w:rsidP="003348A5">
            <w:pPr>
              <w:pStyle w:val="Compact"/>
              <w:jc w:val="both"/>
              <w:cnfStyle w:val="000000000000" w:firstRow="0" w:lastRow="0" w:firstColumn="0" w:lastColumn="0" w:oddVBand="0" w:evenVBand="0" w:oddHBand="0" w:evenHBand="0" w:firstRowFirstColumn="0" w:firstRowLastColumn="0" w:lastRowFirstColumn="0" w:lastRowLastColumn="0"/>
              <w:rPr>
                <w:sz w:val="20"/>
                <w:szCs w:val="21"/>
              </w:rPr>
            </w:pPr>
            <w:r>
              <w:rPr>
                <w:sz w:val="20"/>
                <w:szCs w:val="21"/>
              </w:rPr>
              <w:t xml:space="preserve">Since the </w:t>
            </w:r>
            <w:r w:rsidRPr="002B1E6D">
              <w:rPr>
                <w:sz w:val="20"/>
                <w:szCs w:val="21"/>
              </w:rPr>
              <w:t xml:space="preserve">Central Registry of Energy Passports </w:t>
            </w:r>
            <w:r>
              <w:rPr>
                <w:sz w:val="20"/>
                <w:szCs w:val="21"/>
                <w:lang w:val="en-US"/>
              </w:rPr>
              <w:t>(</w:t>
            </w:r>
            <w:r>
              <w:rPr>
                <w:sz w:val="20"/>
                <w:szCs w:val="21"/>
              </w:rPr>
              <w:t>CREP) is already established, as per baseline, the following milestones are defined:</w:t>
            </w:r>
          </w:p>
          <w:p w14:paraId="76FEFEBA" w14:textId="77777777" w:rsidR="00E76CD3" w:rsidRDefault="00E76CD3" w:rsidP="003348A5">
            <w:pPr>
              <w:pStyle w:val="Compact"/>
              <w:cnfStyle w:val="000000000000" w:firstRow="0" w:lastRow="0" w:firstColumn="0" w:lastColumn="0" w:oddVBand="0" w:evenVBand="0" w:oddHBand="0" w:evenHBand="0" w:firstRowFirstColumn="0" w:firstRowLastColumn="0" w:lastRowFirstColumn="0" w:lastRowLastColumn="0"/>
              <w:rPr>
                <w:sz w:val="20"/>
                <w:szCs w:val="21"/>
              </w:rPr>
            </w:pPr>
          </w:p>
          <w:p w14:paraId="2F7F1058" w14:textId="77777777" w:rsidR="00E76CD3" w:rsidRPr="00A91A8B" w:rsidRDefault="00E76CD3" w:rsidP="003348A5">
            <w:pPr>
              <w:pStyle w:val="Compact"/>
              <w:numPr>
                <w:ilvl w:val="0"/>
                <w:numId w:val="7"/>
              </w:numPr>
              <w:cnfStyle w:val="000000000000" w:firstRow="0" w:lastRow="0" w:firstColumn="0" w:lastColumn="0" w:oddVBand="0" w:evenVBand="0" w:oddHBand="0" w:evenHBand="0" w:firstRowFirstColumn="0" w:firstRowLastColumn="0" w:lastRowFirstColumn="0" w:lastRowLastColumn="0"/>
              <w:rPr>
                <w:sz w:val="20"/>
                <w:szCs w:val="21"/>
                <w:lang w:val="en-US"/>
              </w:rPr>
            </w:pPr>
            <w:r>
              <w:rPr>
                <w:sz w:val="20"/>
                <w:szCs w:val="21"/>
                <w:lang w:val="en-US"/>
              </w:rPr>
              <w:t>Minimum energy performance standards (</w:t>
            </w:r>
            <w:r w:rsidRPr="00A91A8B">
              <w:rPr>
                <w:sz w:val="20"/>
                <w:szCs w:val="21"/>
                <w:lang w:val="en-US"/>
              </w:rPr>
              <w:t>MEPS</w:t>
            </w:r>
            <w:r>
              <w:rPr>
                <w:sz w:val="20"/>
                <w:szCs w:val="21"/>
                <w:lang w:val="en-US"/>
              </w:rPr>
              <w:t>) for</w:t>
            </w:r>
            <w:r w:rsidRPr="00A91A8B">
              <w:rPr>
                <w:sz w:val="20"/>
                <w:szCs w:val="21"/>
                <w:lang w:val="en-US"/>
              </w:rPr>
              <w:t xml:space="preserve"> non-residential</w:t>
            </w:r>
            <w:r>
              <w:rPr>
                <w:sz w:val="20"/>
                <w:szCs w:val="21"/>
                <w:lang w:val="en-US"/>
              </w:rPr>
              <w:t xml:space="preserve"> buidlings</w:t>
            </w:r>
            <w:r w:rsidRPr="00A91A8B">
              <w:rPr>
                <w:sz w:val="20"/>
                <w:szCs w:val="21"/>
                <w:lang w:val="en-US"/>
              </w:rPr>
              <w:t xml:space="preserve"> recast adopted</w:t>
            </w:r>
          </w:p>
          <w:p w14:paraId="38A2D3AA" w14:textId="77777777" w:rsidR="00E76CD3" w:rsidRPr="00A91A8B" w:rsidRDefault="00E76CD3" w:rsidP="003348A5">
            <w:pPr>
              <w:pStyle w:val="Compact"/>
              <w:numPr>
                <w:ilvl w:val="0"/>
                <w:numId w:val="7"/>
              </w:numPr>
              <w:cnfStyle w:val="000000000000" w:firstRow="0" w:lastRow="0" w:firstColumn="0" w:lastColumn="0" w:oddVBand="0" w:evenVBand="0" w:oddHBand="0" w:evenHBand="0" w:firstRowFirstColumn="0" w:firstRowLastColumn="0" w:lastRowFirstColumn="0" w:lastRowLastColumn="0"/>
              <w:rPr>
                <w:sz w:val="20"/>
                <w:szCs w:val="21"/>
                <w:lang w:val="en-US"/>
              </w:rPr>
            </w:pPr>
            <w:r>
              <w:rPr>
                <w:sz w:val="20"/>
                <w:szCs w:val="21"/>
                <w:lang w:val="en-US"/>
              </w:rPr>
              <w:t xml:space="preserve">Net-Zero Energy Buildings (nZeb) </w:t>
            </w:r>
            <w:r w:rsidRPr="00A91A8B">
              <w:rPr>
                <w:sz w:val="20"/>
                <w:szCs w:val="21"/>
                <w:lang w:val="en-US"/>
              </w:rPr>
              <w:t>standards adopted</w:t>
            </w:r>
          </w:p>
          <w:p w14:paraId="599EF679" w14:textId="77777777" w:rsidR="00E76CD3" w:rsidRPr="00A91A8B" w:rsidRDefault="00E76CD3" w:rsidP="003348A5">
            <w:pPr>
              <w:pStyle w:val="Compact"/>
              <w:numPr>
                <w:ilvl w:val="0"/>
                <w:numId w:val="7"/>
              </w:numPr>
              <w:cnfStyle w:val="000000000000" w:firstRow="0" w:lastRow="0" w:firstColumn="0" w:lastColumn="0" w:oddVBand="0" w:evenVBand="0" w:oddHBand="0" w:evenHBand="0" w:firstRowFirstColumn="0" w:firstRowLastColumn="0" w:lastRowFirstColumn="0" w:lastRowLastColumn="0"/>
              <w:rPr>
                <w:sz w:val="20"/>
                <w:szCs w:val="21"/>
                <w:lang w:val="en-US"/>
              </w:rPr>
            </w:pPr>
            <w:r w:rsidRPr="00A91A8B">
              <w:rPr>
                <w:sz w:val="20"/>
                <w:szCs w:val="21"/>
                <w:lang w:val="en-US"/>
              </w:rPr>
              <w:t>E</w:t>
            </w:r>
            <w:r>
              <w:rPr>
                <w:sz w:val="20"/>
                <w:szCs w:val="21"/>
                <w:lang w:val="en-US"/>
              </w:rPr>
              <w:t xml:space="preserve">nergy Performance </w:t>
            </w:r>
            <w:r w:rsidRPr="00A91A8B">
              <w:rPr>
                <w:sz w:val="20"/>
                <w:szCs w:val="21"/>
                <w:lang w:val="en-US"/>
              </w:rPr>
              <w:t>C</w:t>
            </w:r>
            <w:r>
              <w:rPr>
                <w:sz w:val="20"/>
                <w:szCs w:val="21"/>
                <w:lang w:val="en-US"/>
              </w:rPr>
              <w:t>ertification (EPC)</w:t>
            </w:r>
            <w:r w:rsidRPr="00A91A8B">
              <w:rPr>
                <w:sz w:val="20"/>
                <w:szCs w:val="21"/>
                <w:lang w:val="en-US"/>
              </w:rPr>
              <w:t xml:space="preserve"> scheme operational </w:t>
            </w:r>
          </w:p>
          <w:p w14:paraId="4262785E" w14:textId="77777777" w:rsidR="00E76CD3" w:rsidRPr="00A91A8B" w:rsidRDefault="00E76CD3" w:rsidP="003348A5">
            <w:pPr>
              <w:pStyle w:val="Compact"/>
              <w:numPr>
                <w:ilvl w:val="0"/>
                <w:numId w:val="7"/>
              </w:numPr>
              <w:cnfStyle w:val="000000000000" w:firstRow="0" w:lastRow="0" w:firstColumn="0" w:lastColumn="0" w:oddVBand="0" w:evenVBand="0" w:oddHBand="0" w:evenHBand="0" w:firstRowFirstColumn="0" w:firstRowLastColumn="0" w:lastRowFirstColumn="0" w:lastRowLastColumn="0"/>
              <w:rPr>
                <w:sz w:val="20"/>
                <w:szCs w:val="21"/>
                <w:lang w:val="en-US"/>
              </w:rPr>
            </w:pPr>
            <w:r w:rsidRPr="00A91A8B">
              <w:rPr>
                <w:sz w:val="20"/>
                <w:szCs w:val="21"/>
                <w:lang w:val="en-US"/>
              </w:rPr>
              <w:t xml:space="preserve">EPC scheme aligned with EPBD </w:t>
            </w:r>
          </w:p>
          <w:p w14:paraId="56B08404" w14:textId="77777777" w:rsidR="00E76CD3" w:rsidRPr="00A91A8B" w:rsidRDefault="00E76CD3" w:rsidP="003348A5">
            <w:pPr>
              <w:pStyle w:val="Compact"/>
              <w:numPr>
                <w:ilvl w:val="0"/>
                <w:numId w:val="7"/>
              </w:numPr>
              <w:cnfStyle w:val="000000000000" w:firstRow="0" w:lastRow="0" w:firstColumn="0" w:lastColumn="0" w:oddVBand="0" w:evenVBand="0" w:oddHBand="0" w:evenHBand="0" w:firstRowFirstColumn="0" w:firstRowLastColumn="0" w:lastRowFirstColumn="0" w:lastRowLastColumn="0"/>
              <w:rPr>
                <w:sz w:val="20"/>
                <w:szCs w:val="21"/>
                <w:lang w:val="en-US"/>
              </w:rPr>
            </w:pPr>
            <w:r w:rsidRPr="00A91A8B">
              <w:rPr>
                <w:sz w:val="20"/>
                <w:szCs w:val="21"/>
                <w:lang w:val="en-US"/>
              </w:rPr>
              <w:t xml:space="preserve">Independent control system for EPCs and </w:t>
            </w:r>
            <w:r w:rsidRPr="00F20BE0">
              <w:rPr>
                <w:sz w:val="20"/>
                <w:szCs w:val="21"/>
                <w:lang w:val="en-US"/>
              </w:rPr>
              <w:t>Heating, Ventilation, and Air Conditioning</w:t>
            </w:r>
            <w:r>
              <w:rPr>
                <w:sz w:val="20"/>
                <w:szCs w:val="21"/>
                <w:lang w:val="en-US"/>
              </w:rPr>
              <w:t xml:space="preserve"> (HVAC)</w:t>
            </w:r>
            <w:r w:rsidRPr="00A91A8B">
              <w:rPr>
                <w:sz w:val="20"/>
                <w:szCs w:val="21"/>
                <w:lang w:val="en-US"/>
              </w:rPr>
              <w:t xml:space="preserve"> inspections established </w:t>
            </w:r>
          </w:p>
          <w:p w14:paraId="4CC56D70" w14:textId="77777777" w:rsidR="00E76CD3" w:rsidRPr="00FC4B87" w:rsidRDefault="00E76CD3" w:rsidP="003348A5">
            <w:pPr>
              <w:pStyle w:val="Compact"/>
              <w:ind w:left="720"/>
              <w:cnfStyle w:val="000000000000" w:firstRow="0" w:lastRow="0" w:firstColumn="0" w:lastColumn="0" w:oddVBand="0" w:evenVBand="0" w:oddHBand="0" w:evenHBand="0" w:firstRowFirstColumn="0" w:firstRowLastColumn="0" w:lastRowFirstColumn="0" w:lastRowLastColumn="0"/>
              <w:rPr>
                <w:sz w:val="20"/>
                <w:szCs w:val="21"/>
              </w:rPr>
            </w:pPr>
          </w:p>
        </w:tc>
      </w:tr>
      <w:tr w:rsidR="00E76CD3" w:rsidRPr="002C702E" w14:paraId="5B572E48" w14:textId="77777777" w:rsidTr="003348A5">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497F0CC" w14:textId="77777777" w:rsidR="00E76CD3" w:rsidRPr="002C702E" w:rsidRDefault="00E76CD3" w:rsidP="003348A5">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achievement of each milestone</w:t>
            </w:r>
          </w:p>
        </w:tc>
        <w:tc>
          <w:tcPr>
            <w:tcW w:w="6753" w:type="dxa"/>
          </w:tcPr>
          <w:p w14:paraId="43FD88B1" w14:textId="77777777" w:rsidR="00E76CD3" w:rsidRPr="00FC4B87" w:rsidRDefault="00E76CD3" w:rsidP="003348A5">
            <w:pPr>
              <w:pStyle w:val="Compact"/>
              <w:numPr>
                <w:ilvl w:val="0"/>
                <w:numId w:val="8"/>
              </w:numPr>
              <w:jc w:val="both"/>
              <w:cnfStyle w:val="000000000000" w:firstRow="0" w:lastRow="0" w:firstColumn="0" w:lastColumn="0" w:oddVBand="0" w:evenVBand="0" w:oddHBand="0" w:evenHBand="0" w:firstRowFirstColumn="0" w:firstRowLastColumn="0" w:lastRowFirstColumn="0" w:lastRowLastColumn="0"/>
              <w:rPr>
                <w:sz w:val="20"/>
                <w:szCs w:val="21"/>
              </w:rPr>
            </w:pPr>
            <w:r w:rsidRPr="00A91A8B">
              <w:rPr>
                <w:sz w:val="20"/>
                <w:szCs w:val="21"/>
                <w:lang w:val="en-US"/>
              </w:rPr>
              <w:t>MEPS for non-residential buildings recast have not yet been adopted</w:t>
            </w:r>
            <w:r w:rsidRPr="00A91A8B">
              <w:rPr>
                <w:b/>
                <w:bCs/>
                <w:sz w:val="20"/>
                <w:szCs w:val="21"/>
                <w:lang w:val="en-US"/>
              </w:rPr>
              <w:t>.</w:t>
            </w:r>
            <w:r w:rsidRPr="00A91A8B">
              <w:rPr>
                <w:sz w:val="20"/>
                <w:szCs w:val="21"/>
                <w:lang w:val="en-US"/>
              </w:rPr>
              <w:t> The Energy Community Secretariat reports that despite adoption of a long-term building renovation strategy in February 2022 (including targets and introducing nZEB standards conceptually), no further progress was made in alignment with the EPBD and that the draft regulation on minimum energy performance requirements and building certification has not yet been finalised, preventing full compliance</w:t>
            </w:r>
            <w:r>
              <w:rPr>
                <w:sz w:val="20"/>
                <w:szCs w:val="21"/>
                <w:lang w:val="en-US"/>
              </w:rPr>
              <w:t>.</w:t>
            </w:r>
            <w:r>
              <w:rPr>
                <w:rStyle w:val="FootnoteReference"/>
                <w:sz w:val="20"/>
                <w:szCs w:val="21"/>
                <w:lang w:val="en-US"/>
              </w:rPr>
              <w:footnoteReference w:id="1"/>
            </w:r>
          </w:p>
          <w:p w14:paraId="7071CC2F" w14:textId="77777777" w:rsidR="00E76CD3" w:rsidRPr="00FC4B87" w:rsidRDefault="00E76CD3" w:rsidP="003348A5">
            <w:pPr>
              <w:pStyle w:val="Compact"/>
              <w:numPr>
                <w:ilvl w:val="0"/>
                <w:numId w:val="8"/>
              </w:numPr>
              <w:jc w:val="both"/>
              <w:cnfStyle w:val="000000000000" w:firstRow="0" w:lastRow="0" w:firstColumn="0" w:lastColumn="0" w:oddVBand="0" w:evenVBand="0" w:oddHBand="0" w:evenHBand="0" w:firstRowFirstColumn="0" w:firstRowLastColumn="0" w:lastRowFirstColumn="0" w:lastRowLastColumn="0"/>
              <w:rPr>
                <w:sz w:val="20"/>
                <w:szCs w:val="21"/>
              </w:rPr>
            </w:pPr>
            <w:r w:rsidRPr="00A91A8B">
              <w:rPr>
                <w:sz w:val="20"/>
                <w:szCs w:val="21"/>
                <w:lang w:val="en-US"/>
              </w:rPr>
              <w:t xml:space="preserve">nZEB standards </w:t>
            </w:r>
            <w:r>
              <w:rPr>
                <w:sz w:val="20"/>
                <w:szCs w:val="21"/>
                <w:lang w:val="en-US"/>
              </w:rPr>
              <w:t>are not yet</w:t>
            </w:r>
            <w:r w:rsidRPr="00A91A8B">
              <w:rPr>
                <w:sz w:val="20"/>
                <w:szCs w:val="21"/>
                <w:lang w:val="en-US"/>
              </w:rPr>
              <w:t xml:space="preserve"> adopted as a binding recast </w:t>
            </w:r>
            <w:r w:rsidRPr="00F657D7">
              <w:rPr>
                <w:sz w:val="20"/>
                <w:szCs w:val="21"/>
                <w:lang w:val="en-US"/>
              </w:rPr>
              <w:t>standard package</w:t>
            </w:r>
            <w:r>
              <w:rPr>
                <w:b/>
                <w:bCs/>
                <w:sz w:val="20"/>
                <w:szCs w:val="21"/>
                <w:lang w:val="en-US"/>
              </w:rPr>
              <w:t xml:space="preserve">. </w:t>
            </w:r>
            <w:r w:rsidRPr="00A91A8B">
              <w:rPr>
                <w:sz w:val="20"/>
                <w:szCs w:val="21"/>
                <w:lang w:val="en-US"/>
              </w:rPr>
              <w:t>While Serbia’s 2022 long-term renovation strategy references introducing nZEB standards</w:t>
            </w:r>
            <w:r>
              <w:rPr>
                <w:rStyle w:val="FootnoteReference"/>
                <w:sz w:val="20"/>
                <w:szCs w:val="21"/>
                <w:lang w:val="en-US"/>
              </w:rPr>
              <w:footnoteReference w:id="2"/>
            </w:r>
            <w:r w:rsidRPr="00A91A8B">
              <w:rPr>
                <w:sz w:val="20"/>
                <w:szCs w:val="21"/>
                <w:lang w:val="en-US"/>
              </w:rPr>
              <w:t xml:space="preserve"> (especially for new public and commercial structures), Energy Community reporting states there was still no progress in EPBD alignment and that the key draft regulation on minimum energy performance requirements/certification was not </w:t>
            </w:r>
            <w:r>
              <w:rPr>
                <w:sz w:val="20"/>
                <w:szCs w:val="21"/>
                <w:lang w:val="en-US"/>
              </w:rPr>
              <w:t xml:space="preserve">finalized, </w:t>
            </w:r>
            <w:r w:rsidRPr="00A91A8B">
              <w:rPr>
                <w:sz w:val="20"/>
                <w:szCs w:val="21"/>
                <w:lang w:val="en-US"/>
              </w:rPr>
              <w:t>suggesting nZEB standards required by the step were not adopted as enforceable technical rules</w:t>
            </w:r>
            <w:r>
              <w:rPr>
                <w:sz w:val="20"/>
                <w:szCs w:val="21"/>
                <w:lang w:val="en-US"/>
              </w:rPr>
              <w:t xml:space="preserve">. </w:t>
            </w:r>
          </w:p>
          <w:p w14:paraId="58B317C4" w14:textId="77777777" w:rsidR="00E76CD3" w:rsidRPr="00F26D83" w:rsidRDefault="00E76CD3" w:rsidP="003348A5">
            <w:pPr>
              <w:pStyle w:val="ListParagraph"/>
              <w:numPr>
                <w:ilvl w:val="0"/>
                <w:numId w:val="8"/>
              </w:numPr>
              <w:spacing w:after="20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r w:rsidRPr="00F26D83">
              <w:rPr>
                <w:kern w:val="0"/>
                <w:sz w:val="20"/>
                <w:szCs w:val="21"/>
                <w14:ligatures w14:val="none"/>
              </w:rPr>
              <w:t xml:space="preserve">EPC scheme operational </w:t>
            </w:r>
            <w:r>
              <w:rPr>
                <w:kern w:val="0"/>
                <w:sz w:val="20"/>
                <w:szCs w:val="21"/>
                <w14:ligatures w14:val="none"/>
              </w:rPr>
              <w:t>is operational, but not aligned with EPBD.</w:t>
            </w:r>
            <w:r w:rsidRPr="00F26D83">
              <w:rPr>
                <w:kern w:val="0"/>
                <w:sz w:val="20"/>
                <w:szCs w:val="21"/>
                <w14:ligatures w14:val="none"/>
              </w:rPr>
              <w:t xml:space="preserve"> Serbia has an established EPC framework through long-standing by-laws:</w:t>
            </w:r>
          </w:p>
          <w:p w14:paraId="69A39B3C" w14:textId="77777777" w:rsidR="00E76CD3" w:rsidRPr="00F26D83" w:rsidRDefault="00E76CD3" w:rsidP="003348A5">
            <w:pPr>
              <w:pStyle w:val="ListParagraph"/>
              <w:numPr>
                <w:ilvl w:val="1"/>
                <w:numId w:val="8"/>
              </w:numPr>
              <w:spacing w:after="20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r w:rsidRPr="00F26D83">
              <w:rPr>
                <w:kern w:val="0"/>
                <w:sz w:val="20"/>
                <w:szCs w:val="21"/>
                <w14:ligatures w14:val="none"/>
              </w:rPr>
              <w:t>The Rulebook on Energy Efficiency of Buildings (Official Gazette 61/2011) defines energy properties, calculation methods, and energy requirements for new and existing buildings and references use of national software/methodology annexes</w:t>
            </w:r>
            <w:r>
              <w:rPr>
                <w:kern w:val="0"/>
                <w:sz w:val="20"/>
                <w:szCs w:val="21"/>
                <w14:ligatures w14:val="none"/>
              </w:rPr>
              <w:t>.</w:t>
            </w:r>
            <w:r>
              <w:rPr>
                <w:rStyle w:val="FootnoteReference"/>
                <w:kern w:val="0"/>
                <w:sz w:val="20"/>
                <w:szCs w:val="21"/>
                <w14:ligatures w14:val="none"/>
              </w:rPr>
              <w:footnoteReference w:id="3"/>
            </w:r>
            <w:r w:rsidRPr="00F26D83">
              <w:rPr>
                <w:kern w:val="0"/>
                <w:sz w:val="20"/>
                <w:szCs w:val="21"/>
                <w14:ligatures w14:val="none"/>
              </w:rPr>
              <w:t xml:space="preserve"> </w:t>
            </w:r>
          </w:p>
          <w:p w14:paraId="44872F41" w14:textId="77777777" w:rsidR="00E76CD3" w:rsidRPr="00F26D83" w:rsidRDefault="00E76CD3" w:rsidP="003348A5">
            <w:pPr>
              <w:pStyle w:val="ListParagraph"/>
              <w:numPr>
                <w:ilvl w:val="1"/>
                <w:numId w:val="8"/>
              </w:numPr>
              <w:spacing w:after="20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r w:rsidRPr="00F26D83">
              <w:rPr>
                <w:kern w:val="0"/>
                <w:sz w:val="20"/>
                <w:szCs w:val="21"/>
                <w14:ligatures w14:val="none"/>
              </w:rPr>
              <w:t>The Rulebook on issuing EPC certificates (Official Gazette 69/2012, amended through 102/2025) specifies EPC (“energy passport”) issuance procedures, licensing requirements for authorized organizations, and applies to new buildings and certain renovated existing buildings</w:t>
            </w:r>
            <w:r>
              <w:rPr>
                <w:kern w:val="0"/>
                <w:sz w:val="20"/>
                <w:szCs w:val="21"/>
                <w14:ligatures w14:val="none"/>
              </w:rPr>
              <w:t>.</w:t>
            </w:r>
            <w:r>
              <w:rPr>
                <w:rStyle w:val="FootnoteReference"/>
                <w:kern w:val="0"/>
                <w:sz w:val="20"/>
                <w:szCs w:val="21"/>
                <w14:ligatures w14:val="none"/>
              </w:rPr>
              <w:footnoteReference w:id="4"/>
            </w:r>
          </w:p>
          <w:p w14:paraId="112C9E04" w14:textId="77777777" w:rsidR="00E76CD3" w:rsidRPr="00F26D83" w:rsidRDefault="00E76CD3" w:rsidP="003348A5">
            <w:pPr>
              <w:spacing w:after="200"/>
              <w:ind w:left="1040"/>
              <w:jc w:val="both"/>
              <w:cnfStyle w:val="000000000000" w:firstRow="0" w:lastRow="0" w:firstColumn="0" w:lastColumn="0" w:oddVBand="0" w:evenVBand="0" w:oddHBand="0" w:evenHBand="0" w:firstRowFirstColumn="0" w:firstRowLastColumn="0" w:lastRowFirstColumn="0" w:lastRowLastColumn="0"/>
              <w:rPr>
                <w:kern w:val="0"/>
                <w:sz w:val="20"/>
                <w:szCs w:val="21"/>
                <w14:ligatures w14:val="none"/>
              </w:rPr>
            </w:pPr>
            <w:r w:rsidRPr="00F26D83">
              <w:rPr>
                <w:kern w:val="0"/>
                <w:sz w:val="20"/>
                <w:szCs w:val="21"/>
                <w14:ligatures w14:val="none"/>
              </w:rPr>
              <w:t>However, the Reform step requires EPBD-aligned issuance plus independent controls and updated methodology</w:t>
            </w:r>
            <w:r>
              <w:rPr>
                <w:kern w:val="0"/>
                <w:sz w:val="20"/>
                <w:szCs w:val="21"/>
                <w14:ligatures w14:val="none"/>
              </w:rPr>
              <w:t>, which has not yet been drafted and adopted. The Central Registry of Energy Passports (CREP) is operational.</w:t>
            </w:r>
            <w:r>
              <w:rPr>
                <w:rStyle w:val="FootnoteReference"/>
                <w:kern w:val="0"/>
                <w:sz w:val="20"/>
                <w:szCs w:val="21"/>
                <w14:ligatures w14:val="none"/>
              </w:rPr>
              <w:footnoteReference w:id="5"/>
            </w:r>
          </w:p>
          <w:p w14:paraId="77B6CB47" w14:textId="77777777" w:rsidR="00E76CD3" w:rsidRDefault="00E76CD3" w:rsidP="003348A5">
            <w:pPr>
              <w:pStyle w:val="ListParagraph"/>
              <w:numPr>
                <w:ilvl w:val="0"/>
                <w:numId w:val="8"/>
              </w:numPr>
              <w:spacing w:after="200"/>
              <w:jc w:val="both"/>
              <w:cnfStyle w:val="000000000000" w:firstRow="0" w:lastRow="0" w:firstColumn="0" w:lastColumn="0" w:oddVBand="0" w:evenVBand="0" w:oddHBand="0" w:evenHBand="0" w:firstRowFirstColumn="0" w:firstRowLastColumn="0" w:lastRowFirstColumn="0" w:lastRowLastColumn="0"/>
              <w:rPr>
                <w:sz w:val="20"/>
                <w:szCs w:val="20"/>
              </w:rPr>
            </w:pPr>
            <w:r w:rsidRPr="00F26D83">
              <w:rPr>
                <w:sz w:val="20"/>
                <w:szCs w:val="20"/>
              </w:rPr>
              <w:t>Both the Energy Community Secretariat and the European Commission’s Serbia reporting emphasize that Serbia still needs to finalize and adopt EPBD-aligned implementing legislation for energy performance of buildings. This strongly indicates that the EPC system, while existing, is not fully aligned with the EPBD standard expected under accession-oriented requirements and the Reform Agenda step. </w:t>
            </w:r>
            <w:r>
              <w:rPr>
                <w:kern w:val="0"/>
                <w:sz w:val="20"/>
                <w:szCs w:val="21"/>
                <w14:ligatures w14:val="none"/>
              </w:rPr>
              <w:t xml:space="preserve">It </w:t>
            </w:r>
            <w:r w:rsidRPr="00F26D83">
              <w:rPr>
                <w:kern w:val="0"/>
                <w:sz w:val="20"/>
                <w:szCs w:val="21"/>
                <w14:ligatures w14:val="none"/>
              </w:rPr>
              <w:t>requires EPBD-aligned issuance plus independent controls and updated methodology</w:t>
            </w:r>
            <w:r>
              <w:rPr>
                <w:kern w:val="0"/>
                <w:sz w:val="20"/>
                <w:szCs w:val="21"/>
                <w14:ligatures w14:val="none"/>
              </w:rPr>
              <w:t xml:space="preserve">, which has not yet been drafted and adopted. </w:t>
            </w:r>
            <w:r w:rsidRPr="00F26D83">
              <w:rPr>
                <w:kern w:val="0"/>
                <w:sz w:val="20"/>
                <w:szCs w:val="21"/>
                <w14:ligatures w14:val="none"/>
              </w:rPr>
              <w:t>Although the Serbian EPC methodology calculates primary energy and CO₂ emissions, building energy classes are still determined primarily based on heating demand (QH,nd)</w:t>
            </w:r>
            <w:r>
              <w:rPr>
                <w:kern w:val="0"/>
                <w:sz w:val="20"/>
                <w:szCs w:val="21"/>
                <w14:ligatures w14:val="none"/>
              </w:rPr>
              <w:t>.</w:t>
            </w:r>
            <w:r>
              <w:rPr>
                <w:rStyle w:val="FootnoteReference"/>
                <w:kern w:val="0"/>
                <w:sz w:val="20"/>
                <w:szCs w:val="21"/>
                <w14:ligatures w14:val="none"/>
              </w:rPr>
              <w:footnoteReference w:id="6"/>
            </w:r>
            <w:r w:rsidRPr="00F26D83">
              <w:rPr>
                <w:kern w:val="0"/>
                <w:sz w:val="20"/>
                <w:szCs w:val="21"/>
                <w14:ligatures w14:val="none"/>
              </w:rPr>
              <w:t xml:space="preserve"> This indicates that the classification methodology is not fully aligned with the EPBD approach, which requires energy classes to reflect the overall primary energy performance of the building.</w:t>
            </w:r>
          </w:p>
          <w:p w14:paraId="3AA15C1A" w14:textId="77777777" w:rsidR="00E76CD3" w:rsidRPr="00B0389E" w:rsidRDefault="00E76CD3" w:rsidP="003348A5">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sz w:val="20"/>
                <w:szCs w:val="20"/>
              </w:rPr>
            </w:pPr>
            <w:r w:rsidRPr="00F26D83">
              <w:rPr>
                <w:sz w:val="20"/>
                <w:szCs w:val="20"/>
              </w:rPr>
              <w:lastRenderedPageBreak/>
              <w:t>Independent control of EPCs and HVAC inspections</w:t>
            </w:r>
            <w:r>
              <w:rPr>
                <w:sz w:val="20"/>
                <w:szCs w:val="20"/>
              </w:rPr>
              <w:t>:</w:t>
            </w:r>
            <w:r w:rsidRPr="00F26D83">
              <w:rPr>
                <w:sz w:val="20"/>
                <w:szCs w:val="20"/>
              </w:rPr>
              <w:t xml:space="preserve"> Not </w:t>
            </w:r>
            <w:r>
              <w:rPr>
                <w:sz w:val="20"/>
                <w:szCs w:val="20"/>
              </w:rPr>
              <w:t xml:space="preserve">established. </w:t>
            </w:r>
            <w:r w:rsidRPr="00F26D83">
              <w:rPr>
                <w:sz w:val="20"/>
                <w:szCs w:val="20"/>
              </w:rPr>
              <w:t>Energy Community reporting notes that rulebooks for inspecting heating</w:t>
            </w:r>
            <w:r>
              <w:rPr>
                <w:rStyle w:val="FootnoteReference"/>
                <w:sz w:val="20"/>
                <w:szCs w:val="20"/>
              </w:rPr>
              <w:footnoteReference w:id="7"/>
            </w:r>
            <w:r w:rsidRPr="00F26D83">
              <w:rPr>
                <w:sz w:val="20"/>
                <w:szCs w:val="20"/>
              </w:rPr>
              <w:t xml:space="preserve"> and air-conditioning systems</w:t>
            </w:r>
            <w:r>
              <w:rPr>
                <w:rStyle w:val="FootnoteReference"/>
                <w:sz w:val="20"/>
                <w:szCs w:val="20"/>
              </w:rPr>
              <w:footnoteReference w:id="8"/>
            </w:r>
            <w:r w:rsidRPr="00F26D83">
              <w:rPr>
                <w:sz w:val="20"/>
                <w:szCs w:val="20"/>
              </w:rPr>
              <w:t xml:space="preserve"> were adopted in 2023 and supported by instructions and a register of authorised inspection providers in 2024–2025. </w:t>
            </w:r>
            <w:r>
              <w:rPr>
                <w:sz w:val="20"/>
                <w:szCs w:val="20"/>
              </w:rPr>
              <w:t>However</w:t>
            </w:r>
            <w:r w:rsidRPr="00F26D83">
              <w:rPr>
                <w:sz w:val="20"/>
                <w:szCs w:val="20"/>
              </w:rPr>
              <w:t xml:space="preserve">, the same report notes the draft regulation on minimum energy performance requirements/certification was not </w:t>
            </w:r>
            <w:r>
              <w:rPr>
                <w:sz w:val="20"/>
                <w:szCs w:val="20"/>
              </w:rPr>
              <w:t xml:space="preserve">finalized, </w:t>
            </w:r>
            <w:r w:rsidRPr="00F26D83">
              <w:rPr>
                <w:sz w:val="20"/>
                <w:szCs w:val="20"/>
              </w:rPr>
              <w:t>suggesting institutional readiness is incomplete</w:t>
            </w:r>
            <w:r>
              <w:rPr>
                <w:sz w:val="20"/>
                <w:szCs w:val="20"/>
              </w:rPr>
              <w:t>.</w:t>
            </w:r>
            <w:r>
              <w:rPr>
                <w:rStyle w:val="FootnoteReference"/>
                <w:sz w:val="20"/>
                <w:szCs w:val="20"/>
              </w:rPr>
              <w:footnoteReference w:id="9"/>
            </w:r>
            <w:r w:rsidRPr="00F26D83">
              <w:rPr>
                <w:sz w:val="20"/>
                <w:szCs w:val="20"/>
              </w:rPr>
              <w:t xml:space="preserve"> </w:t>
            </w:r>
          </w:p>
        </w:tc>
      </w:tr>
      <w:tr w:rsidR="00E76CD3" w:rsidRPr="002C702E" w14:paraId="55C9A423" w14:textId="77777777" w:rsidTr="003348A5">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A975C05" w14:textId="77777777" w:rsidR="00E76CD3" w:rsidRPr="002C702E" w:rsidRDefault="00E76CD3" w:rsidP="003348A5">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Key issues in implementation</w:t>
            </w:r>
          </w:p>
        </w:tc>
        <w:tc>
          <w:tcPr>
            <w:tcW w:w="6753" w:type="dxa"/>
          </w:tcPr>
          <w:p w14:paraId="5BB1F9D1" w14:textId="77777777" w:rsidR="00E76CD3" w:rsidRPr="0046407D" w:rsidRDefault="00E76CD3" w:rsidP="003348A5">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045552">
              <w:rPr>
                <w:sz w:val="20"/>
                <w:szCs w:val="20"/>
              </w:rPr>
              <w:t>Core legal instrument is missing, which should align standards with EPBD. </w:t>
            </w:r>
            <w:r>
              <w:rPr>
                <w:sz w:val="20"/>
                <w:szCs w:val="20"/>
              </w:rPr>
              <w:t xml:space="preserve"> There is a m</w:t>
            </w:r>
            <w:r w:rsidRPr="00045552">
              <w:rPr>
                <w:sz w:val="20"/>
                <w:szCs w:val="20"/>
              </w:rPr>
              <w:t>ismatch between existing EPC rules and EPBD recast implementation</w:t>
            </w:r>
            <w:r>
              <w:rPr>
                <w:b/>
                <w:bCs/>
                <w:sz w:val="20"/>
                <w:szCs w:val="20"/>
              </w:rPr>
              <w:t>.</w:t>
            </w:r>
            <w:r w:rsidRPr="00045552">
              <w:rPr>
                <w:sz w:val="20"/>
                <w:szCs w:val="20"/>
              </w:rPr>
              <w:t> Serbia’s EPC framework exists and has been updated, but the Reform Agenda step demands recast MEPS, nZEB, and independent controls</w:t>
            </w:r>
            <w:r>
              <w:rPr>
                <w:sz w:val="20"/>
                <w:szCs w:val="20"/>
              </w:rPr>
              <w:t xml:space="preserve"> </w:t>
            </w:r>
            <w:r w:rsidRPr="00045552">
              <w:rPr>
                <w:sz w:val="20"/>
                <w:szCs w:val="20"/>
              </w:rPr>
              <w:t>elements that are not evidenced as adopted/operational by end-2025</w:t>
            </w:r>
            <w:r>
              <w:rPr>
                <w:sz w:val="20"/>
                <w:szCs w:val="20"/>
              </w:rPr>
              <w:t>.</w:t>
            </w:r>
            <w:r w:rsidRPr="00045552">
              <w:rPr>
                <w:sz w:val="20"/>
                <w:szCs w:val="20"/>
              </w:rPr>
              <w:t> </w:t>
            </w:r>
            <w:r>
              <w:rPr>
                <w:sz w:val="20"/>
                <w:szCs w:val="20"/>
              </w:rPr>
              <w:t xml:space="preserve">The next step would be to draft the </w:t>
            </w:r>
            <w:r w:rsidRPr="00AA5DF8">
              <w:rPr>
                <w:sz w:val="20"/>
                <w:szCs w:val="20"/>
              </w:rPr>
              <w:t>Methodology for calculating the energy performance of buildings</w:t>
            </w:r>
            <w:r>
              <w:rPr>
                <w:sz w:val="20"/>
                <w:szCs w:val="20"/>
              </w:rPr>
              <w:t xml:space="preserve">, in line with EPBD and to update the existing </w:t>
            </w:r>
            <w:r w:rsidRPr="00CB133A">
              <w:rPr>
                <w:sz w:val="20"/>
                <w:szCs w:val="20"/>
              </w:rPr>
              <w:t>Rulebook on Energy Efficiency of Buildings</w:t>
            </w:r>
            <w:r>
              <w:rPr>
                <w:sz w:val="20"/>
                <w:szCs w:val="20"/>
              </w:rPr>
              <w:t xml:space="preserve">. </w:t>
            </w:r>
          </w:p>
        </w:tc>
      </w:tr>
      <w:tr w:rsidR="00E76CD3" w:rsidRPr="002C702E" w14:paraId="13D83F07" w14:textId="77777777" w:rsidTr="003348A5">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3AAAB0E" w14:textId="77777777" w:rsidR="00E76CD3" w:rsidRPr="002C702E" w:rsidRDefault="00E76CD3" w:rsidP="003348A5">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Analyse</w:t>
            </w:r>
            <w:r>
              <w:rPr>
                <w:rFonts w:ascii="Aptos" w:eastAsia="Times New Roman" w:hAnsi="Aptos" w:cs="Times New Roman"/>
                <w:kern w:val="0"/>
                <w:sz w:val="20"/>
                <w:szCs w:val="20"/>
                <w:lang w:val="en-GB" w:eastAsia="en-GB"/>
                <w14:ligatures w14:val="none"/>
              </w:rPr>
              <w:t xml:space="preserve"> how key principles of RGF were respected in the reform step</w:t>
            </w:r>
            <w:r w:rsidRPr="002C702E">
              <w:rPr>
                <w:rFonts w:ascii="Aptos" w:eastAsia="Times New Roman" w:hAnsi="Aptos" w:cs="Times New Roman"/>
                <w:kern w:val="0"/>
                <w:sz w:val="20"/>
                <w:szCs w:val="20"/>
                <w:lang w:val="en-GB" w:eastAsia="en-GB"/>
                <w14:ligatures w14:val="none"/>
              </w:rPr>
              <w:t xml:space="preserve"> implementation</w:t>
            </w:r>
          </w:p>
        </w:tc>
        <w:tc>
          <w:tcPr>
            <w:tcW w:w="6753" w:type="dxa"/>
          </w:tcPr>
          <w:p w14:paraId="357117D8" w14:textId="77777777" w:rsidR="00E76CD3" w:rsidRDefault="00E76CD3" w:rsidP="003348A5">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Transparency</w:t>
            </w:r>
            <w:r>
              <w:rPr>
                <w:b/>
                <w:bCs/>
                <w:sz w:val="20"/>
                <w:szCs w:val="20"/>
                <w:lang w:val="en-GB"/>
              </w:rPr>
              <w:t xml:space="preserve"> </w:t>
            </w:r>
          </w:p>
          <w:p w14:paraId="4EAC988D" w14:textId="77777777" w:rsidR="00E76CD3" w:rsidRPr="008B6D45" w:rsidRDefault="00E76CD3" w:rsidP="003348A5">
            <w:pPr>
              <w:spacing w:before="120" w:after="120"/>
              <w:jc w:val="both"/>
              <w:cnfStyle w:val="000000000000" w:firstRow="0" w:lastRow="0" w:firstColumn="0" w:lastColumn="0" w:oddVBand="0" w:evenVBand="0" w:oddHBand="0" w:evenHBand="0" w:firstRowFirstColumn="0" w:firstRowLastColumn="0" w:lastRowFirstColumn="0" w:lastRowLastColumn="0"/>
              <w:rPr>
                <w:b/>
                <w:bCs/>
                <w:sz w:val="20"/>
                <w:szCs w:val="20"/>
                <w:lang w:val="en-GB"/>
              </w:rPr>
            </w:pPr>
            <w:r>
              <w:rPr>
                <w:sz w:val="20"/>
                <w:szCs w:val="20"/>
              </w:rPr>
              <w:t>C</w:t>
            </w:r>
            <w:r w:rsidRPr="008A3BC9">
              <w:rPr>
                <w:sz w:val="20"/>
                <w:szCs w:val="20"/>
              </w:rPr>
              <w:t xml:space="preserve">ore baseline rules (2011/2012 rulebooks, including 2025 updates) are publicly accessible via MGSI documentation, but the key </w:t>
            </w:r>
            <w:r>
              <w:rPr>
                <w:sz w:val="20"/>
                <w:szCs w:val="20"/>
              </w:rPr>
              <w:t xml:space="preserve">information on </w:t>
            </w:r>
            <w:r w:rsidRPr="009E7E4D">
              <w:rPr>
                <w:sz w:val="20"/>
                <w:szCs w:val="20"/>
              </w:rPr>
              <w:t>Methodology for calculating the energy performance of buildings</w:t>
            </w:r>
            <w:r>
              <w:rPr>
                <w:sz w:val="20"/>
                <w:szCs w:val="20"/>
              </w:rPr>
              <w:t xml:space="preserve"> are not publicly available</w:t>
            </w:r>
            <w:r w:rsidRPr="008A3BC9">
              <w:rPr>
                <w:sz w:val="20"/>
                <w:szCs w:val="20"/>
              </w:rPr>
              <w:t xml:space="preserve">. </w:t>
            </w:r>
          </w:p>
          <w:p w14:paraId="4E654651" w14:textId="77777777" w:rsidR="00E76CD3" w:rsidRDefault="00E76CD3" w:rsidP="003348A5">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p>
          <w:p w14:paraId="1E477D40" w14:textId="77777777" w:rsidR="00E76CD3" w:rsidRDefault="00E76CD3" w:rsidP="003348A5">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Inclusivity</w:t>
            </w:r>
          </w:p>
          <w:p w14:paraId="379CC256" w14:textId="77777777" w:rsidR="00E76CD3" w:rsidRPr="002C702E" w:rsidRDefault="00E76CD3" w:rsidP="003348A5">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The inclusivity principle was rather low in this Reform step. </w:t>
            </w:r>
            <w:r w:rsidRPr="007D0A1B">
              <w:rPr>
                <w:sz w:val="20"/>
                <w:szCs w:val="20"/>
                <w:lang w:val="en-GB"/>
              </w:rPr>
              <w:t>The Law on Amendments to the Law on Planning and Construction was adopted</w:t>
            </w:r>
            <w:r>
              <w:rPr>
                <w:sz w:val="20"/>
                <w:szCs w:val="20"/>
                <w:lang w:val="en-GB"/>
              </w:rPr>
              <w:t xml:space="preserve"> in October 2025,</w:t>
            </w:r>
            <w:r>
              <w:rPr>
                <w:rStyle w:val="FootnoteReference"/>
                <w:sz w:val="20"/>
                <w:szCs w:val="20"/>
                <w:lang w:val="en-GB"/>
              </w:rPr>
              <w:footnoteReference w:id="10"/>
            </w:r>
            <w:r w:rsidRPr="007D0A1B">
              <w:rPr>
                <w:sz w:val="20"/>
                <w:szCs w:val="20"/>
                <w:lang w:val="en-GB"/>
              </w:rPr>
              <w:t xml:space="preserve"> under an expedited procedure, without a public consultation process.</w:t>
            </w:r>
            <w:r>
              <w:rPr>
                <w:rStyle w:val="FootnoteReference"/>
                <w:sz w:val="20"/>
                <w:szCs w:val="20"/>
                <w:lang w:val="en-GB"/>
              </w:rPr>
              <w:footnoteReference w:id="11"/>
            </w:r>
            <w:r w:rsidRPr="007D0A1B">
              <w:rPr>
                <w:sz w:val="20"/>
                <w:szCs w:val="20"/>
                <w:lang w:val="en-GB"/>
              </w:rPr>
              <w:t xml:space="preserve"> The Rulebook on issuing EPC certificates also did not involve broader public participation. While the competent authority is not legally required to conduct such consultations</w:t>
            </w:r>
            <w:r>
              <w:rPr>
                <w:sz w:val="20"/>
                <w:szCs w:val="20"/>
                <w:lang w:val="en-GB"/>
              </w:rPr>
              <w:t xml:space="preserve"> for Rulebooks</w:t>
            </w:r>
            <w:r w:rsidRPr="007D0A1B">
              <w:rPr>
                <w:sz w:val="20"/>
                <w:szCs w:val="20"/>
                <w:lang w:val="en-GB"/>
              </w:rPr>
              <w:t>, involving the broader public in the drafting of the next Rulebook</w:t>
            </w:r>
            <w:r>
              <w:rPr>
                <w:sz w:val="20"/>
                <w:szCs w:val="20"/>
                <w:lang w:val="en-GB"/>
              </w:rPr>
              <w:t xml:space="preserve">, </w:t>
            </w:r>
            <w:r w:rsidRPr="007D0A1B">
              <w:rPr>
                <w:sz w:val="20"/>
                <w:szCs w:val="20"/>
                <w:lang w:val="en-GB"/>
              </w:rPr>
              <w:t>particularly in the context of transposing the EPBD standards</w:t>
            </w:r>
            <w:r>
              <w:rPr>
                <w:sz w:val="20"/>
                <w:szCs w:val="20"/>
                <w:lang w:val="en-GB"/>
              </w:rPr>
              <w:t xml:space="preserve">, </w:t>
            </w:r>
            <w:r w:rsidRPr="007D0A1B">
              <w:rPr>
                <w:sz w:val="20"/>
                <w:szCs w:val="20"/>
                <w:lang w:val="en-GB"/>
              </w:rPr>
              <w:t>would be beneficial.</w:t>
            </w:r>
          </w:p>
        </w:tc>
      </w:tr>
      <w:tr w:rsidR="00E76CD3" w:rsidRPr="002C702E" w14:paraId="5278C171" w14:textId="77777777" w:rsidTr="003348A5">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9F6A497" w14:textId="77777777" w:rsidR="00E76CD3" w:rsidRPr="002C702E" w:rsidRDefault="00E76CD3" w:rsidP="003348A5">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Public availability of evidence of implementation</w:t>
            </w:r>
          </w:p>
        </w:tc>
        <w:tc>
          <w:tcPr>
            <w:tcW w:w="6753" w:type="dxa"/>
          </w:tcPr>
          <w:p w14:paraId="361525C6" w14:textId="77777777" w:rsidR="00E76CD3" w:rsidRPr="002C702E" w:rsidRDefault="00E76CD3" w:rsidP="003348A5">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Has the final source of verification (as per Reform Agenda) been made publicly available? If yes, please list the source (provide link) and date.</w:t>
            </w:r>
          </w:p>
          <w:p w14:paraId="6456EC80" w14:textId="77777777" w:rsidR="00E76CD3" w:rsidRPr="002C702E" w:rsidRDefault="00E76CD3" w:rsidP="003348A5">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Publicly available</w:t>
            </w:r>
            <w:r w:rsidRPr="002C702E">
              <w:rPr>
                <w:sz w:val="20"/>
                <w:szCs w:val="20"/>
                <w:lang w:val="en-GB"/>
              </w:rPr>
              <w:t>:</w:t>
            </w:r>
            <w:r w:rsidRPr="002C702E">
              <w:rPr>
                <w:b/>
                <w:bCs/>
                <w:sz w:val="20"/>
                <w:szCs w:val="20"/>
                <w:lang w:val="en-GB"/>
              </w:rPr>
              <w:t xml:space="preserve"> </w:t>
            </w:r>
            <w:r w:rsidRPr="002C702E">
              <w:rPr>
                <w:sz w:val="20"/>
                <w:szCs w:val="20"/>
                <w:lang w:val="en-GB"/>
              </w:rPr>
              <w:t>YES, although not as listed in the Reform Agenda</w:t>
            </w:r>
            <w:r>
              <w:rPr>
                <w:sz w:val="20"/>
                <w:szCs w:val="20"/>
                <w:lang w:val="en-GB"/>
              </w:rPr>
              <w:t>.</w:t>
            </w:r>
          </w:p>
          <w:p w14:paraId="75BBE6F4" w14:textId="77777777" w:rsidR="00E76CD3" w:rsidRPr="002C702E" w:rsidRDefault="00E76CD3" w:rsidP="003348A5">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Source</w:t>
            </w:r>
            <w:r w:rsidRPr="002C702E">
              <w:rPr>
                <w:sz w:val="20"/>
                <w:szCs w:val="20"/>
                <w:lang w:val="en-GB"/>
              </w:rPr>
              <w:t xml:space="preserve">: </w:t>
            </w:r>
          </w:p>
          <w:p w14:paraId="44981387" w14:textId="77777777" w:rsidR="00E76CD3" w:rsidRPr="002C702E" w:rsidRDefault="00E76CD3" w:rsidP="003348A5">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Government of the Republic of Serbia</w:t>
            </w:r>
          </w:p>
          <w:p w14:paraId="193209AC" w14:textId="77777777" w:rsidR="00E76CD3" w:rsidRPr="002C702E" w:rsidRDefault="00E76CD3" w:rsidP="003348A5">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lang w:val="en-GB"/>
              </w:rPr>
              <w:t>Legal-information system of the Republic of Serbia (Official Gazette of the Republic of Serbia)</w:t>
            </w:r>
          </w:p>
          <w:p w14:paraId="2FA9C6FB" w14:textId="77777777" w:rsidR="00E76CD3" w:rsidRPr="002C702E" w:rsidRDefault="00E76CD3" w:rsidP="003348A5">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Link</w:t>
            </w:r>
            <w:r w:rsidRPr="002C702E">
              <w:rPr>
                <w:sz w:val="20"/>
                <w:szCs w:val="20"/>
                <w:lang w:val="en-GB"/>
              </w:rPr>
              <w:t xml:space="preserve">: </w:t>
            </w:r>
          </w:p>
          <w:p w14:paraId="1F434734" w14:textId="77777777" w:rsidR="00E76CD3" w:rsidRPr="00187912" w:rsidRDefault="00E76CD3" w:rsidP="003348A5">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8" w:history="1">
              <w:r w:rsidRPr="0022529F">
                <w:rPr>
                  <w:rStyle w:val="Hyperlink"/>
                  <w:sz w:val="20"/>
                  <w:szCs w:val="20"/>
                </w:rPr>
                <w:t>https://www.paragraf.rs/propisi/zakon_o_planiranju_i_izgradnji.html</w:t>
              </w:r>
            </w:hyperlink>
            <w:r>
              <w:rPr>
                <w:sz w:val="20"/>
                <w:szCs w:val="20"/>
              </w:rPr>
              <w:t xml:space="preserve"> </w:t>
            </w:r>
          </w:p>
          <w:p w14:paraId="730F5C52" w14:textId="77777777" w:rsidR="00E76CD3" w:rsidRPr="0027722A" w:rsidRDefault="00E76CD3" w:rsidP="003348A5">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9" w:history="1">
              <w:r w:rsidRPr="0022529F">
                <w:rPr>
                  <w:rStyle w:val="Hyperlink"/>
                  <w:sz w:val="20"/>
                  <w:szCs w:val="20"/>
                  <w:lang w:val="en-GB"/>
                </w:rPr>
                <w:t>https://www.mgsi.gov.rs/sites/default/files/Pravilnik%20o%20energetskoj%20efikasnosti%20zgrada.pdf</w:t>
              </w:r>
            </w:hyperlink>
            <w:r>
              <w:rPr>
                <w:sz w:val="20"/>
                <w:szCs w:val="20"/>
                <w:lang w:val="en-GB"/>
              </w:rPr>
              <w:t xml:space="preserve"> </w:t>
            </w:r>
          </w:p>
          <w:p w14:paraId="2F55AC1A" w14:textId="77777777" w:rsidR="00E76CD3" w:rsidRDefault="00E76CD3" w:rsidP="003348A5">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0" w:history="1">
              <w:r w:rsidRPr="0022529F">
                <w:rPr>
                  <w:rStyle w:val="Hyperlink"/>
                  <w:sz w:val="20"/>
                  <w:szCs w:val="20"/>
                  <w:lang w:val="en-GB"/>
                </w:rPr>
                <w:t>https://www.mgsi.gov.rs/sites/default/files/pravilnik_o_uslovima_sadrzini_i_nacinu_izdavanja_sertifikata_o_energetsk.pdf</w:t>
              </w:r>
            </w:hyperlink>
            <w:r>
              <w:rPr>
                <w:sz w:val="20"/>
                <w:szCs w:val="20"/>
                <w:lang w:val="en-GB"/>
              </w:rPr>
              <w:t xml:space="preserve"> </w:t>
            </w:r>
          </w:p>
          <w:p w14:paraId="04B83418" w14:textId="77777777" w:rsidR="00E76CD3" w:rsidRDefault="00E76CD3" w:rsidP="003348A5">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1" w:history="1">
              <w:r w:rsidRPr="0022529F">
                <w:rPr>
                  <w:rStyle w:val="Hyperlink"/>
                  <w:sz w:val="20"/>
                  <w:szCs w:val="20"/>
                  <w:lang w:val="en-GB"/>
                </w:rPr>
                <w:t>https://crep.gov.rs/</w:t>
              </w:r>
            </w:hyperlink>
            <w:r>
              <w:rPr>
                <w:sz w:val="20"/>
                <w:szCs w:val="20"/>
                <w:lang w:val="en-GB"/>
              </w:rPr>
              <w:t xml:space="preserve"> </w:t>
            </w:r>
          </w:p>
          <w:p w14:paraId="29B33D9C" w14:textId="77777777" w:rsidR="00E76CD3" w:rsidRDefault="00E76CD3" w:rsidP="003348A5">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2" w:history="1">
              <w:r w:rsidRPr="0022529F">
                <w:rPr>
                  <w:rStyle w:val="Hyperlink"/>
                  <w:sz w:val="20"/>
                  <w:szCs w:val="20"/>
                  <w:lang w:val="en-GB"/>
                </w:rPr>
                <w:t>https://www.mei.gov.rs/srl/vesti/3355/detaljnije/w/0/analiza-metodologija-proracuna-energetske-efikasnosti-zgrada-korak-blize-evropskim-standardima-u-okviru-pregovarackog-poglavlja-15/</w:t>
              </w:r>
            </w:hyperlink>
            <w:r>
              <w:rPr>
                <w:sz w:val="20"/>
                <w:szCs w:val="20"/>
                <w:lang w:val="en-GB"/>
              </w:rPr>
              <w:t xml:space="preserve"> </w:t>
            </w:r>
          </w:p>
          <w:p w14:paraId="5C4F48AF" w14:textId="77777777" w:rsidR="00E76CD3" w:rsidRDefault="00E76CD3" w:rsidP="003348A5">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3" w:history="1">
              <w:r w:rsidRPr="00DD5194">
                <w:rPr>
                  <w:rStyle w:val="Hyperlink"/>
                  <w:sz w:val="20"/>
                  <w:szCs w:val="20"/>
                  <w:lang w:val="en-GB"/>
                </w:rPr>
                <w:t>https://www.energy-community.org/dam/jcr:5b4ff2d5-5672-4989-ad81-d7fd9e27a7f7/Serbia_IR25CP.pdf</w:t>
              </w:r>
            </w:hyperlink>
            <w:r>
              <w:rPr>
                <w:sz w:val="20"/>
                <w:szCs w:val="20"/>
                <w:lang w:val="en-GB"/>
              </w:rPr>
              <w:t xml:space="preserve"> </w:t>
            </w:r>
            <w:r w:rsidRPr="00DD1367">
              <w:rPr>
                <w:sz w:val="20"/>
                <w:szCs w:val="20"/>
                <w:lang w:val="en-GB"/>
              </w:rPr>
              <w:t xml:space="preserve"> </w:t>
            </w:r>
            <w:r>
              <w:rPr>
                <w:sz w:val="20"/>
                <w:szCs w:val="20"/>
                <w:lang w:val="en-GB"/>
              </w:rPr>
              <w:t xml:space="preserve"> </w:t>
            </w:r>
          </w:p>
          <w:p w14:paraId="68A4588F" w14:textId="77777777" w:rsidR="00E76CD3" w:rsidRPr="007E5543" w:rsidRDefault="00E76CD3" w:rsidP="003348A5">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03E650E0" w14:textId="77777777" w:rsidR="00E76CD3" w:rsidRPr="002C702E" w:rsidRDefault="00E76CD3" w:rsidP="003348A5">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Date of publication</w:t>
            </w:r>
            <w:r w:rsidRPr="002C702E">
              <w:rPr>
                <w:sz w:val="20"/>
                <w:szCs w:val="20"/>
                <w:lang w:val="en-GB"/>
              </w:rPr>
              <w:t xml:space="preserve">: </w:t>
            </w:r>
          </w:p>
          <w:p w14:paraId="35B95C92" w14:textId="77777777" w:rsidR="00E76CD3" w:rsidRDefault="00E76CD3" w:rsidP="003348A5">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1) October 2025;</w:t>
            </w:r>
          </w:p>
          <w:p w14:paraId="2321138C" w14:textId="77777777" w:rsidR="00E76CD3" w:rsidRDefault="00E76CD3" w:rsidP="003348A5">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2) 2011;</w:t>
            </w:r>
          </w:p>
          <w:p w14:paraId="46F7B8C7" w14:textId="77777777" w:rsidR="00E76CD3" w:rsidRDefault="00E76CD3" w:rsidP="003348A5">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3) December 2025;</w:t>
            </w:r>
          </w:p>
          <w:p w14:paraId="287878BF" w14:textId="77777777" w:rsidR="00E76CD3" w:rsidRDefault="00E76CD3" w:rsidP="003348A5">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4) Document was accessed on 26 February, 2025;</w:t>
            </w:r>
          </w:p>
          <w:p w14:paraId="30BCF1AF" w14:textId="77777777" w:rsidR="00E76CD3" w:rsidRDefault="00E76CD3" w:rsidP="003348A5">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5) July 22, 2025.</w:t>
            </w:r>
          </w:p>
          <w:p w14:paraId="5B908630" w14:textId="77777777" w:rsidR="00E76CD3" w:rsidRPr="002C702E" w:rsidRDefault="00E76CD3" w:rsidP="003348A5">
            <w:pPr>
              <w:pStyle w:val="ListParagraph"/>
              <w:numPr>
                <w:ilvl w:val="0"/>
                <w:numId w:val="4"/>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6) Accessed on 26 February, 2026.</w:t>
            </w:r>
          </w:p>
        </w:tc>
      </w:tr>
      <w:tr w:rsidR="00E76CD3" w:rsidRPr="002C702E" w14:paraId="344B783D" w14:textId="77777777" w:rsidTr="003348A5">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DA1FC5D" w14:textId="77777777" w:rsidR="00E76CD3" w:rsidRPr="002C702E" w:rsidRDefault="00E76CD3" w:rsidP="003348A5">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quality of the final output of the reform step</w:t>
            </w:r>
          </w:p>
        </w:tc>
        <w:tc>
          <w:tcPr>
            <w:tcW w:w="6753" w:type="dxa"/>
          </w:tcPr>
          <w:p w14:paraId="4A5B86B4" w14:textId="77777777" w:rsidR="00E76CD3" w:rsidRPr="004B6765" w:rsidRDefault="00E76CD3" w:rsidP="003348A5">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8C1384">
              <w:rPr>
                <w:sz w:val="20"/>
                <w:szCs w:val="20"/>
              </w:rPr>
              <w:t xml:space="preserve">As of end-2025, the quality of delivery falls short of the Reform Agenda and EU/EnC standards because the key EPBD-alignment instrument (minimum requirements + certification rulebook in an EPBD-aligned recast form) was not finalised, according to the Energy Community Secretariat, </w:t>
            </w:r>
            <w:r>
              <w:rPr>
                <w:sz w:val="20"/>
                <w:szCs w:val="20"/>
              </w:rPr>
              <w:t xml:space="preserve">and available documents. </w:t>
            </w:r>
            <w:r w:rsidRPr="008C1384">
              <w:rPr>
                <w:sz w:val="20"/>
                <w:szCs w:val="20"/>
              </w:rPr>
              <w:t xml:space="preserve">While the existence and updating of national rulebooks demonstrate continuity of an EPC framework, they do not equal “EPBD implementation” at the level required (MEPS recast, nZEB standards, independent control systems). </w:t>
            </w:r>
          </w:p>
        </w:tc>
      </w:tr>
    </w:tbl>
    <w:p w14:paraId="4E5095A0" w14:textId="77777777" w:rsidR="00E76CD3" w:rsidRPr="002C702E" w:rsidRDefault="00E76CD3" w:rsidP="00E76CD3">
      <w:pPr>
        <w:rPr>
          <w:lang w:val="en-GB"/>
        </w:rPr>
      </w:pPr>
    </w:p>
    <w:p w14:paraId="0488F053" w14:textId="77777777" w:rsidR="00E76CD3" w:rsidRPr="002C702E" w:rsidRDefault="00E76CD3" w:rsidP="00E76CD3">
      <w:pPr>
        <w:pStyle w:val="Heading1"/>
        <w:numPr>
          <w:ilvl w:val="0"/>
          <w:numId w:val="13"/>
        </w:numPr>
        <w:ind w:left="1080"/>
        <w:rPr>
          <w:lang w:val="en-GB"/>
        </w:rPr>
      </w:pPr>
      <w:r w:rsidRPr="002C702E">
        <w:rPr>
          <w:lang w:val="en-GB"/>
        </w:rPr>
        <w:t>Final assessment</w:t>
      </w:r>
    </w:p>
    <w:p w14:paraId="1478416C" w14:textId="77777777" w:rsidR="00E76CD3" w:rsidRPr="002C702E" w:rsidRDefault="00E76CD3" w:rsidP="00E76CD3">
      <w:pPr>
        <w:rPr>
          <w:lang w:val="en-GB"/>
        </w:rPr>
      </w:pPr>
    </w:p>
    <w:tbl>
      <w:tblPr>
        <w:tblStyle w:val="GridTable1Light"/>
        <w:tblW w:w="0" w:type="auto"/>
        <w:tblLook w:val="0480" w:firstRow="0" w:lastRow="0" w:firstColumn="1" w:lastColumn="0" w:noHBand="0" w:noVBand="1"/>
      </w:tblPr>
      <w:tblGrid>
        <w:gridCol w:w="2263"/>
        <w:gridCol w:w="6753"/>
      </w:tblGrid>
      <w:tr w:rsidR="00E76CD3" w:rsidRPr="002C702E" w14:paraId="5229ED79" w14:textId="77777777" w:rsidTr="003348A5">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4729896" w14:textId="01305368" w:rsidR="00E76CD3" w:rsidRPr="002C702E" w:rsidRDefault="00E76CD3" w:rsidP="003348A5">
            <w:pPr>
              <w:spacing w:before="60" w:after="60"/>
              <w:rPr>
                <w:sz w:val="20"/>
                <w:szCs w:val="20"/>
                <w:lang w:val="en-GB"/>
              </w:rPr>
            </w:pPr>
            <w:r w:rsidRPr="002C702E">
              <w:rPr>
                <w:sz w:val="20"/>
                <w:szCs w:val="20"/>
                <w:lang w:val="en-GB"/>
              </w:rPr>
              <w:t>Assess formal achievement</w:t>
            </w:r>
          </w:p>
        </w:tc>
        <w:tc>
          <w:tcPr>
            <w:tcW w:w="6753" w:type="dxa"/>
          </w:tcPr>
          <w:p w14:paraId="161F847A" w14:textId="77777777" w:rsidR="00E76CD3" w:rsidRPr="002C702E" w:rsidRDefault="00E76CD3" w:rsidP="003348A5">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Pr>
                <w:b/>
                <w:bCs/>
                <w:sz w:val="20"/>
                <w:szCs w:val="20"/>
                <w:lang w:val="en-GB"/>
              </w:rPr>
              <w:t>Not achieved.</w:t>
            </w:r>
          </w:p>
        </w:tc>
      </w:tr>
      <w:tr w:rsidR="00E76CD3" w:rsidRPr="002C702E" w14:paraId="3E8EAAC4" w14:textId="77777777" w:rsidTr="003348A5">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D881ACB" w14:textId="77777777" w:rsidR="00E76CD3" w:rsidRPr="002C702E" w:rsidRDefault="00E76CD3" w:rsidP="003348A5">
            <w:pPr>
              <w:spacing w:before="60" w:after="60"/>
              <w:rPr>
                <w:sz w:val="20"/>
                <w:szCs w:val="20"/>
                <w:lang w:val="en-GB"/>
              </w:rPr>
            </w:pPr>
            <w:r w:rsidRPr="002C702E">
              <w:rPr>
                <w:sz w:val="20"/>
                <w:szCs w:val="20"/>
                <w:lang w:val="en-GB"/>
              </w:rPr>
              <w:t>Elaboration of final assessment</w:t>
            </w:r>
          </w:p>
        </w:tc>
        <w:tc>
          <w:tcPr>
            <w:tcW w:w="6753" w:type="dxa"/>
          </w:tcPr>
          <w:p w14:paraId="033C944E" w14:textId="1F4B5CC7" w:rsidR="00E76CD3" w:rsidRDefault="00E76CD3" w:rsidP="003348A5">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D07099">
              <w:rPr>
                <w:sz w:val="20"/>
                <w:szCs w:val="20"/>
                <w:lang w:val="en-GB"/>
              </w:rPr>
              <w:t xml:space="preserve">The step requires a full EPBD implementation package including recast MEPS for non-residential buildings, nZEB standards for new buildings, EPBD-aligned EPC issuance, and independent controls for EPCs and HVAC inspections. Official Energy Community reporting </w:t>
            </w:r>
            <w:r>
              <w:rPr>
                <w:sz w:val="20"/>
                <w:szCs w:val="20"/>
                <w:lang w:val="en-GB"/>
              </w:rPr>
              <w:t xml:space="preserve">and available documents </w:t>
            </w:r>
            <w:r w:rsidRPr="00D07099">
              <w:rPr>
                <w:sz w:val="20"/>
                <w:szCs w:val="20"/>
                <w:lang w:val="en-GB"/>
              </w:rPr>
              <w:t>indicate that the foundational draft regulation on minimum energy performance requirements and building certification was still not finalised by the 2025 reporting period. Therefore, core deliverables remain missing and the step cannot be considered achieved by December 2025, even though parts of the EPC framework</w:t>
            </w:r>
            <w:r>
              <w:rPr>
                <w:sz w:val="20"/>
                <w:szCs w:val="20"/>
                <w:lang w:val="en-GB"/>
              </w:rPr>
              <w:t xml:space="preserve"> and CREP</w:t>
            </w:r>
            <w:r w:rsidRPr="00D07099">
              <w:rPr>
                <w:sz w:val="20"/>
                <w:szCs w:val="20"/>
                <w:lang w:val="en-GB"/>
              </w:rPr>
              <w:t xml:space="preserve"> exist and were updated. </w:t>
            </w:r>
          </w:p>
          <w:p w14:paraId="461213CE" w14:textId="77777777" w:rsidR="00E76CD3" w:rsidRPr="003E583F" w:rsidRDefault="00E76CD3" w:rsidP="003348A5">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Therefore this step is considered as </w:t>
            </w:r>
            <w:r w:rsidRPr="00006E49">
              <w:rPr>
                <w:b/>
                <w:bCs/>
                <w:sz w:val="20"/>
                <w:szCs w:val="20"/>
                <w:lang w:val="en-GB"/>
              </w:rPr>
              <w:t>not achieved.</w:t>
            </w:r>
            <w:r>
              <w:rPr>
                <w:sz w:val="20"/>
                <w:szCs w:val="20"/>
                <w:lang w:val="en-GB"/>
              </w:rPr>
              <w:t xml:space="preserve"> </w:t>
            </w:r>
          </w:p>
        </w:tc>
      </w:tr>
    </w:tbl>
    <w:p w14:paraId="4BDE956A" w14:textId="77777777" w:rsidR="008B6D45" w:rsidRDefault="008B6D45" w:rsidP="008B6D45"/>
    <w:p w14:paraId="3516DC73" w14:textId="77777777" w:rsidR="008B6D45" w:rsidRDefault="008B6D45" w:rsidP="008B6D45"/>
    <w:p w14:paraId="219CF026" w14:textId="77777777" w:rsidR="008B6D45" w:rsidRDefault="008B6D45" w:rsidP="008B6D45">
      <w:pPr>
        <w:rPr>
          <w:lang w:val="en-GB"/>
        </w:rPr>
      </w:pPr>
    </w:p>
    <w:p w14:paraId="16E28C04" w14:textId="77777777" w:rsidR="008B6D45" w:rsidRDefault="008B6D45" w:rsidP="008B6D45"/>
    <w:sectPr w:rsidR="008B6D45" w:rsidSect="008B6D4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671B9" w14:textId="77777777" w:rsidR="00A97640" w:rsidRDefault="00A97640" w:rsidP="008B6D45">
      <w:r>
        <w:separator/>
      </w:r>
    </w:p>
  </w:endnote>
  <w:endnote w:type="continuationSeparator" w:id="0">
    <w:p w14:paraId="02F3FA0B" w14:textId="77777777" w:rsidR="00A97640" w:rsidRDefault="00A97640" w:rsidP="008B6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24B68" w14:textId="77777777" w:rsidR="00A97640" w:rsidRDefault="00A97640" w:rsidP="008B6D45">
      <w:r>
        <w:separator/>
      </w:r>
    </w:p>
  </w:footnote>
  <w:footnote w:type="continuationSeparator" w:id="0">
    <w:p w14:paraId="347D76DA" w14:textId="77777777" w:rsidR="00A97640" w:rsidRDefault="00A97640" w:rsidP="008B6D45">
      <w:r>
        <w:continuationSeparator/>
      </w:r>
    </w:p>
  </w:footnote>
  <w:footnote w:id="1">
    <w:p w14:paraId="041C4E27" w14:textId="77777777" w:rsidR="00E76CD3" w:rsidRDefault="00E76CD3" w:rsidP="00E76CD3">
      <w:pPr>
        <w:pStyle w:val="FootnoteText"/>
      </w:pPr>
      <w:r>
        <w:rPr>
          <w:rStyle w:val="FootnoteReference"/>
        </w:rPr>
        <w:footnoteRef/>
      </w:r>
      <w:r>
        <w:t xml:space="preserve"> </w:t>
      </w:r>
      <w:hyperlink r:id="rId1" w:history="1">
        <w:r w:rsidRPr="00DD5194">
          <w:rPr>
            <w:rStyle w:val="Hyperlink"/>
          </w:rPr>
          <w:t>https://www.energy-community.org/dam/jcr:5b4ff2d5-5672-4989-ad81-d7fd9e27a7f7/Serbia_IR25CP.pdf</w:t>
        </w:r>
      </w:hyperlink>
      <w:r>
        <w:t xml:space="preserve"> (accessed on 26 February, 2026).</w:t>
      </w:r>
    </w:p>
  </w:footnote>
  <w:footnote w:id="2">
    <w:p w14:paraId="4CEEEEFB" w14:textId="77777777" w:rsidR="00E76CD3" w:rsidRDefault="00E76CD3" w:rsidP="00E76CD3">
      <w:pPr>
        <w:pStyle w:val="FootnoteText"/>
      </w:pPr>
      <w:r>
        <w:rPr>
          <w:rStyle w:val="FootnoteReference"/>
        </w:rPr>
        <w:footnoteRef/>
      </w:r>
      <w:r>
        <w:t xml:space="preserve"> </w:t>
      </w:r>
      <w:hyperlink r:id="rId2" w:history="1">
        <w:r w:rsidRPr="00DD5194">
          <w:rPr>
            <w:rStyle w:val="Hyperlink"/>
          </w:rPr>
          <w:t>https://pravno-informacioni-sistem.rs/eli/rep/sgrs/vlada/strategija/2022/27/1/reg</w:t>
        </w:r>
      </w:hyperlink>
      <w:r>
        <w:t xml:space="preserve"> (accessed on 26 February, 2026).</w:t>
      </w:r>
    </w:p>
  </w:footnote>
  <w:footnote w:id="3">
    <w:p w14:paraId="0552F199" w14:textId="77777777" w:rsidR="00E76CD3" w:rsidRDefault="00E76CD3" w:rsidP="00E76CD3">
      <w:pPr>
        <w:pStyle w:val="FootnoteText"/>
      </w:pPr>
      <w:r>
        <w:rPr>
          <w:rStyle w:val="FootnoteReference"/>
        </w:rPr>
        <w:footnoteRef/>
      </w:r>
      <w:hyperlink r:id="rId3" w:history="1">
        <w:r w:rsidRPr="00DD5194">
          <w:rPr>
            <w:rStyle w:val="Hyperlink"/>
          </w:rPr>
          <w:t>https://www.mgsi.gov.rs/sites/default/files/Pravilnik%20o%20energetskoj%20efikasnosti%20zgrada.pdf</w:t>
        </w:r>
      </w:hyperlink>
      <w:r>
        <w:t xml:space="preserve"> (accessed on 26 February, 2026).</w:t>
      </w:r>
    </w:p>
  </w:footnote>
  <w:footnote w:id="4">
    <w:p w14:paraId="5A0B28F6" w14:textId="77777777" w:rsidR="00E76CD3" w:rsidRDefault="00E76CD3" w:rsidP="00E76CD3">
      <w:pPr>
        <w:pStyle w:val="FootnoteText"/>
      </w:pPr>
      <w:r>
        <w:rPr>
          <w:rStyle w:val="FootnoteReference"/>
        </w:rPr>
        <w:footnoteRef/>
      </w:r>
      <w:hyperlink r:id="rId4" w:history="1">
        <w:r w:rsidRPr="00DD5194">
          <w:rPr>
            <w:rStyle w:val="Hyperlink"/>
          </w:rPr>
          <w:t>https://www.mgsi.gov.rs/sites/default/files/pravilnik_o_uslovima_sadrzini_i_nacinu_izdavanja_sertifikata_o_energetsk.pdf</w:t>
        </w:r>
      </w:hyperlink>
      <w:r>
        <w:t xml:space="preserve"> (accessed on 26 February, 2026).</w:t>
      </w:r>
    </w:p>
  </w:footnote>
  <w:footnote w:id="5">
    <w:p w14:paraId="792F4FE9" w14:textId="77777777" w:rsidR="00E76CD3" w:rsidRDefault="00E76CD3" w:rsidP="00E76CD3">
      <w:pPr>
        <w:pStyle w:val="FootnoteText"/>
      </w:pPr>
      <w:r>
        <w:rPr>
          <w:rStyle w:val="FootnoteReference"/>
        </w:rPr>
        <w:footnoteRef/>
      </w:r>
      <w:r>
        <w:t xml:space="preserve"> </w:t>
      </w:r>
      <w:hyperlink r:id="rId5" w:history="1">
        <w:r w:rsidRPr="00DD5194">
          <w:rPr>
            <w:rStyle w:val="Hyperlink"/>
          </w:rPr>
          <w:t>https://crep.gov.rs/</w:t>
        </w:r>
      </w:hyperlink>
      <w:r>
        <w:t xml:space="preserve"> (accessed on 26 February, 2026).</w:t>
      </w:r>
    </w:p>
  </w:footnote>
  <w:footnote w:id="6">
    <w:p w14:paraId="2719A917" w14:textId="77777777" w:rsidR="00E76CD3" w:rsidRDefault="00E76CD3" w:rsidP="00E76CD3">
      <w:pPr>
        <w:pStyle w:val="FootnoteText"/>
      </w:pPr>
      <w:r>
        <w:rPr>
          <w:rStyle w:val="FootnoteReference"/>
        </w:rPr>
        <w:footnoteRef/>
      </w:r>
      <w:hyperlink r:id="rId6" w:history="1">
        <w:r w:rsidRPr="00DD5194">
          <w:rPr>
            <w:rStyle w:val="Hyperlink"/>
          </w:rPr>
          <w:t>https://www.mgsi.gov.rs/sites/default/files/pravilnik_o_uslovima_sadrzini_i_nacinu_izdavanja_sertifikata_o_energetsk.pdf</w:t>
        </w:r>
      </w:hyperlink>
      <w:r>
        <w:t xml:space="preserve"> (accessed on 26 February, 2026).</w:t>
      </w:r>
    </w:p>
  </w:footnote>
  <w:footnote w:id="7">
    <w:p w14:paraId="1E788C2F" w14:textId="77777777" w:rsidR="00E76CD3" w:rsidRDefault="00E76CD3" w:rsidP="00E76CD3">
      <w:pPr>
        <w:pStyle w:val="FootnoteText"/>
      </w:pPr>
      <w:r>
        <w:rPr>
          <w:rStyle w:val="FootnoteReference"/>
        </w:rPr>
        <w:footnoteRef/>
      </w:r>
      <w:r>
        <w:t xml:space="preserve"> </w:t>
      </w:r>
      <w:hyperlink r:id="rId7" w:history="1">
        <w:r w:rsidRPr="00DD5194">
          <w:rPr>
            <w:rStyle w:val="Hyperlink"/>
          </w:rPr>
          <w:t>https://www.paragraf.rs/propisi/pravilnik-o-kontroli-sistema-za-grejanje-zgrada.html</w:t>
        </w:r>
      </w:hyperlink>
      <w:r>
        <w:t xml:space="preserve"> (accessed on 26 February, 2026).</w:t>
      </w:r>
    </w:p>
  </w:footnote>
  <w:footnote w:id="8">
    <w:p w14:paraId="11A69CBA" w14:textId="77777777" w:rsidR="00E76CD3" w:rsidRDefault="00E76CD3" w:rsidP="00E76CD3">
      <w:pPr>
        <w:pStyle w:val="FootnoteText"/>
      </w:pPr>
      <w:r>
        <w:rPr>
          <w:rStyle w:val="FootnoteReference"/>
        </w:rPr>
        <w:footnoteRef/>
      </w:r>
      <w:r>
        <w:t xml:space="preserve"> </w:t>
      </w:r>
      <w:hyperlink r:id="rId8" w:history="1">
        <w:r w:rsidRPr="00DD5194">
          <w:rPr>
            <w:rStyle w:val="Hyperlink"/>
          </w:rPr>
          <w:t>https://pravno-informacioni-sistem.rs/eli/rep/sgrs/ministarstva/pravilnik/2023/14/1</w:t>
        </w:r>
      </w:hyperlink>
      <w:r>
        <w:t xml:space="preserve"> (accessed on 26 February, 2026).</w:t>
      </w:r>
    </w:p>
  </w:footnote>
  <w:footnote w:id="9">
    <w:p w14:paraId="3FD74125" w14:textId="77777777" w:rsidR="00E76CD3" w:rsidRDefault="00E76CD3" w:rsidP="00E76CD3">
      <w:pPr>
        <w:pStyle w:val="FootnoteText"/>
      </w:pPr>
      <w:r>
        <w:rPr>
          <w:rStyle w:val="FootnoteReference"/>
        </w:rPr>
        <w:footnoteRef/>
      </w:r>
      <w:r>
        <w:t xml:space="preserve"> </w:t>
      </w:r>
      <w:hyperlink r:id="rId9" w:history="1">
        <w:r w:rsidRPr="00DD5194">
          <w:rPr>
            <w:rStyle w:val="Hyperlink"/>
          </w:rPr>
          <w:t>https://www.energy-community.org/dam/jcr:5b4ff2d5-5672-4989-ad81-d7fd9e27a7f7/Serbia_IR25CP.pdf</w:t>
        </w:r>
      </w:hyperlink>
      <w:r>
        <w:t xml:space="preserve"> (accessed on 26 February, 2026).</w:t>
      </w:r>
    </w:p>
  </w:footnote>
  <w:footnote w:id="10">
    <w:p w14:paraId="3FEAFD69" w14:textId="77777777" w:rsidR="00E76CD3" w:rsidRDefault="00E76CD3" w:rsidP="00E76CD3">
      <w:pPr>
        <w:pStyle w:val="FootnoteText"/>
      </w:pPr>
      <w:r>
        <w:rPr>
          <w:rStyle w:val="FootnoteReference"/>
        </w:rPr>
        <w:footnoteRef/>
      </w:r>
      <w:r>
        <w:t xml:space="preserve"> </w:t>
      </w:r>
      <w:hyperlink r:id="rId10" w:history="1">
        <w:r w:rsidRPr="00DD5194">
          <w:rPr>
            <w:rStyle w:val="Hyperlink"/>
          </w:rPr>
          <w:t>https://www.paragraf.rs/izmene_i_dopune/231025-zakon-o-izmenama-i-dopunama-zakona-o-planiranju-i-izgradnji.html</w:t>
        </w:r>
      </w:hyperlink>
      <w:r>
        <w:t xml:space="preserve"> (accessed on 26 February, 2026).</w:t>
      </w:r>
    </w:p>
  </w:footnote>
  <w:footnote w:id="11">
    <w:p w14:paraId="35087E3C" w14:textId="77777777" w:rsidR="00E76CD3" w:rsidRDefault="00E76CD3" w:rsidP="00E76CD3">
      <w:pPr>
        <w:pStyle w:val="FootnoteText"/>
      </w:pPr>
      <w:r>
        <w:rPr>
          <w:rStyle w:val="FootnoteReference"/>
        </w:rPr>
        <w:footnoteRef/>
      </w:r>
      <w:r>
        <w:t xml:space="preserve"> </w:t>
      </w:r>
      <w:hyperlink r:id="rId11" w:history="1">
        <w:r w:rsidRPr="00DD5194">
          <w:rPr>
            <w:rStyle w:val="Hyperlink"/>
          </w:rPr>
          <w:t>https://www.insajder.net/vesti/predlog-izmena-zakona-o-planiranju-i-izgradnji-skupstini-dostavljen-po-hitnom-postupku-i-bez-javne-rasprave-video</w:t>
        </w:r>
      </w:hyperlink>
      <w:r>
        <w:t xml:space="preserve"> (accessed on 26 February, 2026).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9201"/>
    <w:multiLevelType w:val="multilevel"/>
    <w:tmpl w:val="76BA41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1" w15:restartNumberingAfterBreak="0">
    <w:nsid w:val="013D2EA8"/>
    <w:multiLevelType w:val="hybridMultilevel"/>
    <w:tmpl w:val="22ACA2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376D74"/>
    <w:multiLevelType w:val="multilevel"/>
    <w:tmpl w:val="76BA41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3" w15:restartNumberingAfterBreak="0">
    <w:nsid w:val="05386645"/>
    <w:multiLevelType w:val="hybridMultilevel"/>
    <w:tmpl w:val="5C34C100"/>
    <w:lvl w:ilvl="0" w:tplc="5CACC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7F0139"/>
    <w:multiLevelType w:val="hybridMultilevel"/>
    <w:tmpl w:val="3E92BD30"/>
    <w:lvl w:ilvl="0" w:tplc="EC9EFF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DB764C"/>
    <w:multiLevelType w:val="hybridMultilevel"/>
    <w:tmpl w:val="121ACDFE"/>
    <w:lvl w:ilvl="0" w:tplc="7848F3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1348E0"/>
    <w:multiLevelType w:val="hybridMultilevel"/>
    <w:tmpl w:val="FF4E2020"/>
    <w:lvl w:ilvl="0" w:tplc="CB447C5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A6373"/>
    <w:multiLevelType w:val="hybridMultilevel"/>
    <w:tmpl w:val="FF4E202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FED02BF"/>
    <w:multiLevelType w:val="hybridMultilevel"/>
    <w:tmpl w:val="3CA88A6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52536EE1"/>
    <w:multiLevelType w:val="hybridMultilevel"/>
    <w:tmpl w:val="C854CA2E"/>
    <w:lvl w:ilvl="0" w:tplc="12D27542">
      <w:start w:val="1"/>
      <w:numFmt w:val="decimal"/>
      <w:lvlText w:val="%1."/>
      <w:lvlJc w:val="left"/>
      <w:pPr>
        <w:ind w:left="720" w:hanging="360"/>
      </w:pPr>
      <w:rPr>
        <w:rFonts w:asciiTheme="minorHAnsi" w:eastAsiaTheme="minorHAnsi" w:hAnsiTheme="minorHAnsi" w:cstheme="minorBid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F3378F"/>
    <w:multiLevelType w:val="hybridMultilevel"/>
    <w:tmpl w:val="3CA88A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7CE6C22"/>
    <w:multiLevelType w:val="hybridMultilevel"/>
    <w:tmpl w:val="996E9CFE"/>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CB50AA5"/>
    <w:multiLevelType w:val="hybridMultilevel"/>
    <w:tmpl w:val="498A801C"/>
    <w:lvl w:ilvl="0" w:tplc="AB7410C8">
      <w:start w:val="1"/>
      <w:numFmt w:val="decimal"/>
      <w:lvlText w:val="%1."/>
      <w:lvlJc w:val="left"/>
      <w:pPr>
        <w:ind w:left="720" w:hanging="360"/>
      </w:pPr>
      <w:rPr>
        <w:rFonts w:asciiTheme="minorHAnsi" w:eastAsiaTheme="minorHAnsi" w:hAnsiTheme="minorHAnsi" w:cstheme="minorBid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17218D"/>
    <w:multiLevelType w:val="hybridMultilevel"/>
    <w:tmpl w:val="996E9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7636317">
    <w:abstractNumId w:val="7"/>
  </w:num>
  <w:num w:numId="2" w16cid:durableId="1952586693">
    <w:abstractNumId w:val="8"/>
  </w:num>
  <w:num w:numId="3" w16cid:durableId="1488397419">
    <w:abstractNumId w:val="9"/>
  </w:num>
  <w:num w:numId="4" w16cid:durableId="277101163">
    <w:abstractNumId w:val="4"/>
  </w:num>
  <w:num w:numId="5" w16cid:durableId="2549440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6865347">
    <w:abstractNumId w:val="17"/>
  </w:num>
  <w:num w:numId="7" w16cid:durableId="928122283">
    <w:abstractNumId w:val="2"/>
  </w:num>
  <w:num w:numId="8" w16cid:durableId="730881506">
    <w:abstractNumId w:val="15"/>
  </w:num>
  <w:num w:numId="9" w16cid:durableId="1507481741">
    <w:abstractNumId w:val="14"/>
  </w:num>
  <w:num w:numId="10" w16cid:durableId="1601985206">
    <w:abstractNumId w:val="10"/>
  </w:num>
  <w:num w:numId="11" w16cid:durableId="202133402">
    <w:abstractNumId w:val="12"/>
  </w:num>
  <w:num w:numId="12" w16cid:durableId="1992785909">
    <w:abstractNumId w:val="11"/>
  </w:num>
  <w:num w:numId="13" w16cid:durableId="1187603342">
    <w:abstractNumId w:val="3"/>
  </w:num>
  <w:num w:numId="14" w16cid:durableId="214778000">
    <w:abstractNumId w:val="5"/>
  </w:num>
  <w:num w:numId="15" w16cid:durableId="2022275287">
    <w:abstractNumId w:val="6"/>
  </w:num>
  <w:num w:numId="16" w16cid:durableId="325479688">
    <w:abstractNumId w:val="13"/>
  </w:num>
  <w:num w:numId="17" w16cid:durableId="1734963556">
    <w:abstractNumId w:val="16"/>
  </w:num>
  <w:num w:numId="18" w16cid:durableId="20086337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D45"/>
    <w:rsid w:val="00006E49"/>
    <w:rsid w:val="00075BD0"/>
    <w:rsid w:val="000B2819"/>
    <w:rsid w:val="000E1D16"/>
    <w:rsid w:val="000E2636"/>
    <w:rsid w:val="00106D4D"/>
    <w:rsid w:val="0017005D"/>
    <w:rsid w:val="001B4286"/>
    <w:rsid w:val="001D0B0B"/>
    <w:rsid w:val="002544CB"/>
    <w:rsid w:val="00275233"/>
    <w:rsid w:val="002A3012"/>
    <w:rsid w:val="002E0514"/>
    <w:rsid w:val="00362D50"/>
    <w:rsid w:val="003824F0"/>
    <w:rsid w:val="003C47CF"/>
    <w:rsid w:val="003E1102"/>
    <w:rsid w:val="00426CAD"/>
    <w:rsid w:val="004332F5"/>
    <w:rsid w:val="004855B4"/>
    <w:rsid w:val="004C044C"/>
    <w:rsid w:val="0057210C"/>
    <w:rsid w:val="005A02A0"/>
    <w:rsid w:val="005A3324"/>
    <w:rsid w:val="00603337"/>
    <w:rsid w:val="0064201E"/>
    <w:rsid w:val="00653B4C"/>
    <w:rsid w:val="006F3B77"/>
    <w:rsid w:val="00720F61"/>
    <w:rsid w:val="007A16B7"/>
    <w:rsid w:val="007C5D38"/>
    <w:rsid w:val="007E0EE3"/>
    <w:rsid w:val="00861E92"/>
    <w:rsid w:val="00887A9B"/>
    <w:rsid w:val="008B6D45"/>
    <w:rsid w:val="008B6E12"/>
    <w:rsid w:val="009122E2"/>
    <w:rsid w:val="009F6760"/>
    <w:rsid w:val="00A91E76"/>
    <w:rsid w:val="00A97640"/>
    <w:rsid w:val="00AE1E2E"/>
    <w:rsid w:val="00B33FF9"/>
    <w:rsid w:val="00C05457"/>
    <w:rsid w:val="00C60045"/>
    <w:rsid w:val="00C62C9E"/>
    <w:rsid w:val="00D026CE"/>
    <w:rsid w:val="00D07F56"/>
    <w:rsid w:val="00D249B4"/>
    <w:rsid w:val="00D753FE"/>
    <w:rsid w:val="00DC0E57"/>
    <w:rsid w:val="00DE61B6"/>
    <w:rsid w:val="00E27AA0"/>
    <w:rsid w:val="00E477C7"/>
    <w:rsid w:val="00E76CD3"/>
    <w:rsid w:val="00F75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E5559"/>
  <w15:chartTrackingRefBased/>
  <w15:docId w15:val="{58BDBC3F-CFA9-4EAB-90DF-B8FBB70E6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5BD0"/>
    <w:pPr>
      <w:spacing w:after="0" w:line="240" w:lineRule="auto"/>
    </w:pPr>
  </w:style>
  <w:style w:type="paragraph" w:styleId="Heading1">
    <w:name w:val="heading 1"/>
    <w:basedOn w:val="Normal"/>
    <w:next w:val="Normal"/>
    <w:link w:val="Heading1Char"/>
    <w:uiPriority w:val="9"/>
    <w:qFormat/>
    <w:rsid w:val="008B6D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6D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6D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6D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6D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6D4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6D4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6D4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6D4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6D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6D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6D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6D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6D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6D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6D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6D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6D45"/>
    <w:rPr>
      <w:rFonts w:eastAsiaTheme="majorEastAsia" w:cstheme="majorBidi"/>
      <w:color w:val="272727" w:themeColor="text1" w:themeTint="D8"/>
    </w:rPr>
  </w:style>
  <w:style w:type="paragraph" w:styleId="Title">
    <w:name w:val="Title"/>
    <w:basedOn w:val="Normal"/>
    <w:next w:val="Normal"/>
    <w:link w:val="TitleChar"/>
    <w:uiPriority w:val="10"/>
    <w:qFormat/>
    <w:rsid w:val="008B6D4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6D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6D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6D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6D45"/>
    <w:pPr>
      <w:spacing w:before="160"/>
      <w:jc w:val="center"/>
    </w:pPr>
    <w:rPr>
      <w:i/>
      <w:iCs/>
      <w:color w:val="404040" w:themeColor="text1" w:themeTint="BF"/>
    </w:rPr>
  </w:style>
  <w:style w:type="character" w:customStyle="1" w:styleId="QuoteChar">
    <w:name w:val="Quote Char"/>
    <w:basedOn w:val="DefaultParagraphFont"/>
    <w:link w:val="Quote"/>
    <w:uiPriority w:val="29"/>
    <w:rsid w:val="008B6D45"/>
    <w:rPr>
      <w:i/>
      <w:iCs/>
      <w:color w:val="404040" w:themeColor="text1" w:themeTint="BF"/>
    </w:rPr>
  </w:style>
  <w:style w:type="paragraph" w:styleId="ListParagraph">
    <w:name w:val="List Paragraph"/>
    <w:basedOn w:val="Normal"/>
    <w:uiPriority w:val="34"/>
    <w:qFormat/>
    <w:rsid w:val="008B6D45"/>
    <w:pPr>
      <w:ind w:left="720"/>
      <w:contextualSpacing/>
    </w:pPr>
  </w:style>
  <w:style w:type="character" w:styleId="IntenseEmphasis">
    <w:name w:val="Intense Emphasis"/>
    <w:basedOn w:val="DefaultParagraphFont"/>
    <w:uiPriority w:val="21"/>
    <w:qFormat/>
    <w:rsid w:val="008B6D45"/>
    <w:rPr>
      <w:i/>
      <w:iCs/>
      <w:color w:val="0F4761" w:themeColor="accent1" w:themeShade="BF"/>
    </w:rPr>
  </w:style>
  <w:style w:type="paragraph" w:styleId="IntenseQuote">
    <w:name w:val="Intense Quote"/>
    <w:basedOn w:val="Normal"/>
    <w:next w:val="Normal"/>
    <w:link w:val="IntenseQuoteChar"/>
    <w:uiPriority w:val="30"/>
    <w:qFormat/>
    <w:rsid w:val="008B6D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6D45"/>
    <w:rPr>
      <w:i/>
      <w:iCs/>
      <w:color w:val="0F4761" w:themeColor="accent1" w:themeShade="BF"/>
    </w:rPr>
  </w:style>
  <w:style w:type="character" w:styleId="IntenseReference">
    <w:name w:val="Intense Reference"/>
    <w:basedOn w:val="DefaultParagraphFont"/>
    <w:uiPriority w:val="32"/>
    <w:qFormat/>
    <w:rsid w:val="008B6D45"/>
    <w:rPr>
      <w:b/>
      <w:bCs/>
      <w:smallCaps/>
      <w:color w:val="0F4761" w:themeColor="accent1" w:themeShade="BF"/>
      <w:spacing w:val="5"/>
    </w:rPr>
  </w:style>
  <w:style w:type="table" w:styleId="GridTable1Light">
    <w:name w:val="Grid Table 1 Light"/>
    <w:basedOn w:val="TableNormal"/>
    <w:uiPriority w:val="46"/>
    <w:rsid w:val="008B6D4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8B6D45"/>
    <w:rPr>
      <w:sz w:val="20"/>
      <w:szCs w:val="20"/>
    </w:rPr>
  </w:style>
  <w:style w:type="character" w:customStyle="1" w:styleId="FootnoteTextChar">
    <w:name w:val="Footnote Text Char"/>
    <w:basedOn w:val="DefaultParagraphFont"/>
    <w:link w:val="FootnoteText"/>
    <w:uiPriority w:val="99"/>
    <w:semiHidden/>
    <w:rsid w:val="008B6D45"/>
    <w:rPr>
      <w:sz w:val="20"/>
      <w:szCs w:val="20"/>
    </w:rPr>
  </w:style>
  <w:style w:type="character" w:styleId="FootnoteReference">
    <w:name w:val="footnote reference"/>
    <w:basedOn w:val="DefaultParagraphFont"/>
    <w:uiPriority w:val="99"/>
    <w:semiHidden/>
    <w:unhideWhenUsed/>
    <w:rsid w:val="008B6D45"/>
    <w:rPr>
      <w:vertAlign w:val="superscript"/>
    </w:rPr>
  </w:style>
  <w:style w:type="character" w:styleId="Hyperlink">
    <w:name w:val="Hyperlink"/>
    <w:basedOn w:val="DefaultParagraphFont"/>
    <w:uiPriority w:val="99"/>
    <w:unhideWhenUsed/>
    <w:rsid w:val="008B6D45"/>
    <w:rPr>
      <w:color w:val="467886" w:themeColor="hyperlink"/>
      <w:u w:val="single"/>
    </w:rPr>
  </w:style>
  <w:style w:type="paragraph" w:customStyle="1" w:styleId="Compact">
    <w:name w:val="Compact"/>
    <w:basedOn w:val="BodyText"/>
    <w:qFormat/>
    <w:rsid w:val="008B6D45"/>
    <w:pPr>
      <w:spacing w:before="36" w:after="36"/>
    </w:pPr>
    <w:rPr>
      <w:kern w:val="0"/>
      <w:lang w:val="en"/>
      <w14:ligatures w14:val="none"/>
    </w:rPr>
  </w:style>
  <w:style w:type="paragraph" w:styleId="BodyText">
    <w:name w:val="Body Text"/>
    <w:basedOn w:val="Normal"/>
    <w:link w:val="BodyTextChar"/>
    <w:uiPriority w:val="99"/>
    <w:semiHidden/>
    <w:unhideWhenUsed/>
    <w:rsid w:val="008B6D45"/>
    <w:pPr>
      <w:spacing w:after="120"/>
    </w:pPr>
  </w:style>
  <w:style w:type="character" w:customStyle="1" w:styleId="BodyTextChar">
    <w:name w:val="Body Text Char"/>
    <w:basedOn w:val="DefaultParagraphFont"/>
    <w:link w:val="BodyText"/>
    <w:uiPriority w:val="99"/>
    <w:semiHidden/>
    <w:rsid w:val="008B6D45"/>
  </w:style>
  <w:style w:type="paragraph" w:styleId="Revision">
    <w:name w:val="Revision"/>
    <w:hidden/>
    <w:uiPriority w:val="99"/>
    <w:semiHidden/>
    <w:rsid w:val="00D026CE"/>
    <w:pPr>
      <w:spacing w:after="0" w:line="240" w:lineRule="auto"/>
    </w:pPr>
  </w:style>
  <w:style w:type="character" w:styleId="CommentReference">
    <w:name w:val="annotation reference"/>
    <w:basedOn w:val="DefaultParagraphFont"/>
    <w:uiPriority w:val="99"/>
    <w:semiHidden/>
    <w:unhideWhenUsed/>
    <w:rsid w:val="00DC0E57"/>
    <w:rPr>
      <w:sz w:val="16"/>
      <w:szCs w:val="16"/>
    </w:rPr>
  </w:style>
  <w:style w:type="paragraph" w:styleId="CommentText">
    <w:name w:val="annotation text"/>
    <w:basedOn w:val="Normal"/>
    <w:link w:val="CommentTextChar"/>
    <w:uiPriority w:val="99"/>
    <w:unhideWhenUsed/>
    <w:rsid w:val="00DC0E57"/>
    <w:rPr>
      <w:sz w:val="20"/>
      <w:szCs w:val="20"/>
    </w:rPr>
  </w:style>
  <w:style w:type="character" w:customStyle="1" w:styleId="CommentTextChar">
    <w:name w:val="Comment Text Char"/>
    <w:basedOn w:val="DefaultParagraphFont"/>
    <w:link w:val="CommentText"/>
    <w:uiPriority w:val="99"/>
    <w:rsid w:val="00DC0E57"/>
    <w:rPr>
      <w:sz w:val="20"/>
      <w:szCs w:val="20"/>
    </w:rPr>
  </w:style>
  <w:style w:type="paragraph" w:styleId="CommentSubject">
    <w:name w:val="annotation subject"/>
    <w:basedOn w:val="CommentText"/>
    <w:next w:val="CommentText"/>
    <w:link w:val="CommentSubjectChar"/>
    <w:uiPriority w:val="99"/>
    <w:semiHidden/>
    <w:unhideWhenUsed/>
    <w:rsid w:val="00DC0E57"/>
    <w:rPr>
      <w:b/>
      <w:bCs/>
    </w:rPr>
  </w:style>
  <w:style w:type="character" w:customStyle="1" w:styleId="CommentSubjectChar">
    <w:name w:val="Comment Subject Char"/>
    <w:basedOn w:val="CommentTextChar"/>
    <w:link w:val="CommentSubject"/>
    <w:uiPriority w:val="99"/>
    <w:semiHidden/>
    <w:rsid w:val="00DC0E57"/>
    <w:rPr>
      <w:b/>
      <w:bCs/>
      <w:sz w:val="20"/>
      <w:szCs w:val="20"/>
    </w:rPr>
  </w:style>
  <w:style w:type="character" w:styleId="FollowedHyperlink">
    <w:name w:val="FollowedHyperlink"/>
    <w:basedOn w:val="DefaultParagraphFont"/>
    <w:uiPriority w:val="99"/>
    <w:semiHidden/>
    <w:unhideWhenUsed/>
    <w:rsid w:val="002A3012"/>
    <w:rPr>
      <w:color w:val="96607D" w:themeColor="followedHyperlink"/>
      <w:u w:val="single"/>
    </w:rPr>
  </w:style>
  <w:style w:type="character" w:styleId="UnresolvedMention">
    <w:name w:val="Unresolved Mention"/>
    <w:basedOn w:val="DefaultParagraphFont"/>
    <w:uiPriority w:val="99"/>
    <w:semiHidden/>
    <w:unhideWhenUsed/>
    <w:rsid w:val="002A30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ragraf.rs/propisi/zakon_o_planiranju_i_izgradnji.html" TargetMode="External"/><Relationship Id="rId13" Type="http://schemas.openxmlformats.org/officeDocument/2006/relationships/hyperlink" Target="https://www.energy-community.org/dam/jcr:5b4ff2d5-5672-4989-ad81-d7fd9e27a7f7/Serbia_IR25CP.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ei.gov.rs/srl/vesti/3355/detaljnije/w/0/analiza-metodologija-proracuna-energetske-efikasnosti-zgrada-korak-blize-evropskim-standardima-u-okviru-pregovarackog-poglavlja-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ep.gov.r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mgsi.gov.rs/sites/default/files/pravilnik_o_uslovima_sadrzini_i_nacinu_izdavanja_sertifikata_o_energetsk.pdf" TargetMode="External"/><Relationship Id="rId4" Type="http://schemas.openxmlformats.org/officeDocument/2006/relationships/settings" Target="settings.xml"/><Relationship Id="rId9" Type="http://schemas.openxmlformats.org/officeDocument/2006/relationships/hyperlink" Target="https://www.mgsi.gov.rs/sites/default/files/Pravilnik%20o%20energetskoj%20efikasnosti%20zgrad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pravno-informacioni-sistem.rs/eli/rep/sgrs/ministarstva/pravilnik/2023/14/1" TargetMode="External"/><Relationship Id="rId3" Type="http://schemas.openxmlformats.org/officeDocument/2006/relationships/hyperlink" Target="https://www.mgsi.gov.rs/sites/default/files/Pravilnik%20o%20energetskoj%20efikasnosti%20zgrada.pdf" TargetMode="External"/><Relationship Id="rId7" Type="http://schemas.openxmlformats.org/officeDocument/2006/relationships/hyperlink" Target="https://www.paragraf.rs/propisi/pravilnik-o-kontroli-sistema-za-grejanje-zgrada.html" TargetMode="External"/><Relationship Id="rId2" Type="http://schemas.openxmlformats.org/officeDocument/2006/relationships/hyperlink" Target="https://pravno-informacioni-sistem.rs/eli/rep/sgrs/vlada/strategija/2022/27/1/reg" TargetMode="External"/><Relationship Id="rId1" Type="http://schemas.openxmlformats.org/officeDocument/2006/relationships/hyperlink" Target="https://www.energy-community.org/dam/jcr:5b4ff2d5-5672-4989-ad81-d7fd9e27a7f7/Serbia_IR25CP.pdf" TargetMode="External"/><Relationship Id="rId6" Type="http://schemas.openxmlformats.org/officeDocument/2006/relationships/hyperlink" Target="https://www.mgsi.gov.rs/sites/default/files/pravilnik_o_uslovima_sadrzini_i_nacinu_izdavanja_sertifikata_o_energetsk.pdf" TargetMode="External"/><Relationship Id="rId11" Type="http://schemas.openxmlformats.org/officeDocument/2006/relationships/hyperlink" Target="https://www.insajder.net/vesti/predlog-izmena-zakona-o-planiranju-i-izgradnji-skupstini-dostavljen-po-hitnom-postupku-i-bez-javne-rasprave-video" TargetMode="External"/><Relationship Id="rId5" Type="http://schemas.openxmlformats.org/officeDocument/2006/relationships/hyperlink" Target="https://crep.gov.rs/" TargetMode="External"/><Relationship Id="rId10" Type="http://schemas.openxmlformats.org/officeDocument/2006/relationships/hyperlink" Target="https://www.paragraf.rs/izmene_i_dopune/231025-zakon-o-izmenama-i-dopunama-zakona-o-planiranju-i-izgradnji.html" TargetMode="External"/><Relationship Id="rId4" Type="http://schemas.openxmlformats.org/officeDocument/2006/relationships/hyperlink" Target="https://www.mgsi.gov.rs/sites/default/files/pravilnik_o_uslovima_sadrzini_i_nacinu_izdavanja_sertifikata_o_energetsk.pdf" TargetMode="External"/><Relationship Id="rId9" Type="http://schemas.openxmlformats.org/officeDocument/2006/relationships/hyperlink" Target="https://www.energy-community.org/dam/jcr:5b4ff2d5-5672-4989-ad81-d7fd9e27a7f7/Serbia_IR25C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57FDB-E3D8-4071-A0B4-8BFE05263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4</Pages>
  <Words>1246</Words>
  <Characters>8224</Characters>
  <Application>Microsoft Office Word</Application>
  <DocSecurity>0</DocSecurity>
  <Lines>228</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Dizdarević</dc:creator>
  <cp:keywords/>
  <dc:description/>
  <cp:lastModifiedBy>Milena Mihajlovic Denic</cp:lastModifiedBy>
  <cp:revision>34</cp:revision>
  <dcterms:created xsi:type="dcterms:W3CDTF">2026-03-26T14:25:00Z</dcterms:created>
  <dcterms:modified xsi:type="dcterms:W3CDTF">2026-04-24T18:38:00Z</dcterms:modified>
</cp:coreProperties>
</file>