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0ACDC" w14:textId="77777777" w:rsidR="009D1644" w:rsidRPr="008B6D45" w:rsidRDefault="009D1644" w:rsidP="009D1644">
      <w:pPr>
        <w:jc w:val="center"/>
        <w:rPr>
          <w:sz w:val="28"/>
          <w:szCs w:val="28"/>
          <w:lang w:val="en-GB"/>
        </w:rPr>
      </w:pPr>
      <w:r>
        <w:rPr>
          <w:sz w:val="28"/>
          <w:szCs w:val="28"/>
          <w:lang w:val="en-GB"/>
        </w:rPr>
        <w:t>7.1.6 Implementation of MRVA</w:t>
      </w:r>
    </w:p>
    <w:p w14:paraId="15C4370F" w14:textId="77777777" w:rsidR="009D1644" w:rsidRDefault="009D1644" w:rsidP="009D1644"/>
    <w:tbl>
      <w:tblPr>
        <w:tblStyle w:val="GridTable1Light"/>
        <w:tblW w:w="8926" w:type="dxa"/>
        <w:tblLook w:val="0400" w:firstRow="0" w:lastRow="0" w:firstColumn="0" w:lastColumn="0" w:noHBand="0" w:noVBand="1"/>
      </w:tblPr>
      <w:tblGrid>
        <w:gridCol w:w="2122"/>
        <w:gridCol w:w="6804"/>
      </w:tblGrid>
      <w:tr w:rsidR="009D1644" w:rsidRPr="002C702E" w14:paraId="74292AF8" w14:textId="77777777" w:rsidTr="009C6824">
        <w:trPr>
          <w:trHeight w:val="399"/>
        </w:trPr>
        <w:tc>
          <w:tcPr>
            <w:tcW w:w="2122" w:type="dxa"/>
            <w:shd w:val="clear" w:color="auto" w:fill="0E2841" w:themeFill="text2"/>
          </w:tcPr>
          <w:p w14:paraId="23810AB3"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28843D1C" w14:textId="77777777" w:rsidR="009D1644" w:rsidRPr="008A26A0" w:rsidRDefault="009D1644" w:rsidP="009C6824">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9D1644" w:rsidRPr="002C702E" w14:paraId="67ECA17C" w14:textId="77777777" w:rsidTr="009C6824">
        <w:trPr>
          <w:trHeight w:val="393"/>
        </w:trPr>
        <w:tc>
          <w:tcPr>
            <w:tcW w:w="2122" w:type="dxa"/>
            <w:shd w:val="clear" w:color="auto" w:fill="0E2841" w:themeFill="text2"/>
          </w:tcPr>
          <w:p w14:paraId="6A625717"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59B3F5E1" w14:textId="77777777" w:rsidR="009D1644" w:rsidRPr="008A26A0" w:rsidRDefault="009D1644" w:rsidP="009C6824">
            <w:pPr>
              <w:spacing w:before="120" w:after="120"/>
              <w:rPr>
                <w:rFonts w:ascii="Aptos" w:eastAsia="Times New Roman" w:hAnsi="Aptos" w:cs="Times New Roman"/>
                <w:color w:val="000000"/>
                <w:kern w:val="0"/>
                <w:sz w:val="20"/>
                <w:szCs w:val="20"/>
                <w:lang w:val="en-GB" w:eastAsia="en-GB"/>
                <w14:ligatures w14:val="none"/>
              </w:rPr>
            </w:pPr>
            <w:r>
              <w:rPr>
                <w:sz w:val="20"/>
                <w:szCs w:val="20"/>
              </w:rPr>
              <w:t>7</w:t>
            </w:r>
            <w:r w:rsidRPr="008A26A0">
              <w:rPr>
                <w:sz w:val="20"/>
                <w:szCs w:val="20"/>
              </w:rPr>
              <w:t>.1.6 Implementation of MRVA</w:t>
            </w:r>
          </w:p>
        </w:tc>
      </w:tr>
      <w:tr w:rsidR="009D1644" w:rsidRPr="002C702E" w14:paraId="009E10D8" w14:textId="77777777" w:rsidTr="009C6824">
        <w:trPr>
          <w:trHeight w:val="393"/>
        </w:trPr>
        <w:tc>
          <w:tcPr>
            <w:tcW w:w="2122" w:type="dxa"/>
            <w:shd w:val="clear" w:color="auto" w:fill="0E2841" w:themeFill="text2"/>
          </w:tcPr>
          <w:p w14:paraId="7BFC0FB3"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0FF33752" w14:textId="77777777" w:rsidR="009D1644" w:rsidRPr="00DC43F5" w:rsidRDefault="009D1644" w:rsidP="009C6824">
            <w:pPr>
              <w:spacing w:before="120" w:after="120"/>
              <w:rPr>
                <w:rFonts w:ascii="Aptos" w:eastAsia="Times New Roman" w:hAnsi="Aptos" w:cs="Times New Roman"/>
                <w:color w:val="000000"/>
                <w:kern w:val="0"/>
                <w:sz w:val="20"/>
                <w:szCs w:val="20"/>
                <w:lang w:val="en-GB" w:eastAsia="en-GB"/>
                <w14:ligatures w14:val="none"/>
              </w:rPr>
            </w:pPr>
            <w:r w:rsidRPr="00DC43F5">
              <w:rPr>
                <w:sz w:val="20"/>
                <w:szCs w:val="20"/>
              </w:rPr>
              <w:t>Degree of implementation of MRVA legislative and regulatory framework</w:t>
            </w:r>
            <w:r>
              <w:rPr>
                <w:sz w:val="20"/>
                <w:szCs w:val="20"/>
              </w:rPr>
              <w:t>, assessed by the number of issued permits (with approved monitoring plans)</w:t>
            </w:r>
          </w:p>
        </w:tc>
      </w:tr>
      <w:tr w:rsidR="009D1644" w:rsidRPr="002C702E" w14:paraId="4D0B02E6" w14:textId="77777777" w:rsidTr="009C6824">
        <w:trPr>
          <w:trHeight w:val="759"/>
        </w:trPr>
        <w:tc>
          <w:tcPr>
            <w:tcW w:w="2122" w:type="dxa"/>
            <w:shd w:val="clear" w:color="auto" w:fill="0E2841" w:themeFill="text2"/>
          </w:tcPr>
          <w:p w14:paraId="4AF8EFF5"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4B1A5A67" w14:textId="07994BF8" w:rsidR="009D1644" w:rsidRPr="009D1644" w:rsidRDefault="009D1644" w:rsidP="009D1644">
            <w:pPr>
              <w:pStyle w:val="ListParagraph"/>
              <w:numPr>
                <w:ilvl w:val="0"/>
                <w:numId w:val="7"/>
              </w:numPr>
              <w:spacing w:before="120" w:after="120"/>
              <w:jc w:val="both"/>
              <w:rPr>
                <w:rFonts w:ascii="Aptos" w:eastAsia="Times New Roman" w:hAnsi="Aptos" w:cs="Times New Roman"/>
                <w:color w:val="000000"/>
                <w:kern w:val="0"/>
                <w:sz w:val="20"/>
                <w:szCs w:val="20"/>
                <w:lang w:val="en-GB" w:eastAsia="en-GB"/>
                <w14:ligatures w14:val="none"/>
              </w:rPr>
            </w:pPr>
            <w:r w:rsidRPr="009D1644">
              <w:rPr>
                <w:sz w:val="20"/>
                <w:szCs w:val="20"/>
              </w:rPr>
              <w:t>Competent authority [for the implementation of the rules of the ETS Directive] approves monitoring plans [in line with national legislation that transposes the Commission Implementing Regulation [EU] 2018/2066 [MMRR]]</w:t>
            </w:r>
          </w:p>
        </w:tc>
      </w:tr>
      <w:tr w:rsidR="009D1644" w:rsidRPr="002C702E" w14:paraId="6B7DA892" w14:textId="77777777" w:rsidTr="009C6824">
        <w:trPr>
          <w:trHeight w:val="559"/>
        </w:trPr>
        <w:tc>
          <w:tcPr>
            <w:tcW w:w="2122" w:type="dxa"/>
            <w:shd w:val="clear" w:color="auto" w:fill="0E2841" w:themeFill="text2"/>
          </w:tcPr>
          <w:p w14:paraId="3A7B1775" w14:textId="77777777" w:rsidR="009D1644" w:rsidRPr="002C702E" w:rsidRDefault="009D1644"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F3FBE8B" w14:textId="77777777" w:rsidR="009D1644" w:rsidRPr="002C702E" w:rsidRDefault="009D1644" w:rsidP="009C6824">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2025</w:t>
            </w:r>
          </w:p>
        </w:tc>
      </w:tr>
      <w:tr w:rsidR="009D1644" w:rsidRPr="002C702E" w14:paraId="499CA151" w14:textId="77777777" w:rsidTr="009C6824">
        <w:trPr>
          <w:trHeight w:val="553"/>
        </w:trPr>
        <w:tc>
          <w:tcPr>
            <w:tcW w:w="2122" w:type="dxa"/>
            <w:shd w:val="clear" w:color="auto" w:fill="0E2841" w:themeFill="text2"/>
          </w:tcPr>
          <w:p w14:paraId="4EB8CD38"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22A5B1A4" w14:textId="77777777" w:rsidR="009D1644" w:rsidRPr="008A26A0" w:rsidRDefault="009D1644" w:rsidP="009C6824">
            <w:pPr>
              <w:spacing w:before="120" w:after="120"/>
              <w:rPr>
                <w:rFonts w:ascii="Aptos" w:eastAsia="Times New Roman" w:hAnsi="Aptos" w:cs="Times New Roman"/>
                <w:color w:val="000000"/>
                <w:kern w:val="0"/>
                <w:sz w:val="20"/>
                <w:szCs w:val="20"/>
                <w:lang w:val="en-GB" w:eastAsia="en-GB"/>
                <w14:ligatures w14:val="none"/>
              </w:rPr>
            </w:pPr>
            <w:r w:rsidRPr="008A26A0">
              <w:rPr>
                <w:sz w:val="20"/>
                <w:szCs w:val="20"/>
              </w:rPr>
              <w:t>6,793,811.69</w:t>
            </w:r>
          </w:p>
        </w:tc>
      </w:tr>
      <w:tr w:rsidR="009D1644" w:rsidRPr="002C702E" w14:paraId="113483C4" w14:textId="77777777" w:rsidTr="009C6824">
        <w:trPr>
          <w:trHeight w:val="535"/>
        </w:trPr>
        <w:tc>
          <w:tcPr>
            <w:tcW w:w="2122" w:type="dxa"/>
            <w:shd w:val="clear" w:color="auto" w:fill="0E2841" w:themeFill="text2"/>
          </w:tcPr>
          <w:p w14:paraId="18E577DF" w14:textId="77777777" w:rsidR="009D1644" w:rsidRPr="002C702E" w:rsidRDefault="009D1644"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36345884" w14:textId="77777777" w:rsidR="009D1644" w:rsidRPr="002C702E" w:rsidRDefault="009D1644" w:rsidP="009C6824">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Ministry of Environmental Protection (Competent Authority)</w:t>
            </w:r>
          </w:p>
        </w:tc>
      </w:tr>
      <w:tr w:rsidR="009D1644" w:rsidRPr="002C702E" w14:paraId="4107B8F4" w14:textId="77777777" w:rsidTr="009C6824">
        <w:trPr>
          <w:trHeight w:val="583"/>
        </w:trPr>
        <w:tc>
          <w:tcPr>
            <w:tcW w:w="2122" w:type="dxa"/>
            <w:shd w:val="clear" w:color="auto" w:fill="0E2841" w:themeFill="text2"/>
          </w:tcPr>
          <w:p w14:paraId="26AFB871" w14:textId="77777777" w:rsidR="009D1644" w:rsidRPr="002C702E" w:rsidRDefault="009D1644"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E439068" w14:textId="77777777" w:rsidR="009D1644" w:rsidRPr="002C702E" w:rsidRDefault="009D1644" w:rsidP="009C6824">
            <w:pPr>
              <w:spacing w:before="120" w:after="120"/>
              <w:jc w:val="both"/>
              <w:rPr>
                <w:rFonts w:ascii="Aptos" w:eastAsia="Times New Roman" w:hAnsi="Aptos" w:cs="Times New Roman"/>
                <w:color w:val="000000"/>
                <w:kern w:val="0"/>
                <w:sz w:val="20"/>
                <w:szCs w:val="20"/>
                <w:lang w:val="en-GB" w:eastAsia="en-GB"/>
                <w14:ligatures w14:val="none"/>
              </w:rPr>
            </w:pPr>
            <w:r w:rsidRPr="00BA7C0A">
              <w:rPr>
                <w:rFonts w:ascii="Aptos" w:eastAsia="Times New Roman" w:hAnsi="Aptos" w:cs="Times New Roman"/>
                <w:color w:val="000000"/>
                <w:kern w:val="0"/>
                <w:sz w:val="20"/>
                <w:szCs w:val="20"/>
                <w:lang w:val="en-GB" w:eastAsia="en-GB"/>
                <w14:ligatures w14:val="none"/>
              </w:rPr>
              <w:t>Legislation that transposes  MRVA acquis recently adopted: Law on Climate Change (“Official Gazette of the RS”, No 26/21), Regulation on types of activities and greenhouse gases („Official Gazette of the Republic of Serbia“, No. 13/2022), Rulebook on the verification and accreditation of verifiers of reports on greenhouse gas emissions („Official Gazette of the Republic of Serbia“, no. 107/21), Rulebook on the monitoring and reporting of greenhouse gas emissions ("Official Gazette of the Republic of Serbia“, no. 118/23) or 0 GHG permits issued (GHG permit is an act by which the Competent Authority approves the Monitoring Plan</w:t>
            </w:r>
            <w:r>
              <w:rPr>
                <w:rFonts w:ascii="Aptos" w:eastAsia="Times New Roman" w:hAnsi="Aptos" w:cs="Times New Roman"/>
                <w:color w:val="000000"/>
                <w:kern w:val="0"/>
                <w:sz w:val="20"/>
                <w:szCs w:val="20"/>
                <w:lang w:val="en-GB" w:eastAsia="en-GB"/>
                <w14:ligatures w14:val="none"/>
              </w:rPr>
              <w:t>.</w:t>
            </w:r>
          </w:p>
        </w:tc>
      </w:tr>
      <w:tr w:rsidR="009D1644" w:rsidRPr="002C702E" w14:paraId="678D4FA8" w14:textId="77777777" w:rsidTr="009C6824">
        <w:trPr>
          <w:trHeight w:val="577"/>
        </w:trPr>
        <w:tc>
          <w:tcPr>
            <w:tcW w:w="2122" w:type="dxa"/>
            <w:shd w:val="clear" w:color="auto" w:fill="0E2841" w:themeFill="text2"/>
          </w:tcPr>
          <w:p w14:paraId="604F33F1" w14:textId="77777777" w:rsidR="009D1644" w:rsidRPr="002C702E" w:rsidRDefault="009D1644" w:rsidP="009C6824">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59889372" w14:textId="77777777" w:rsidR="009D1644" w:rsidRPr="002C702E" w:rsidRDefault="009D1644" w:rsidP="009C6824">
            <w:pPr>
              <w:spacing w:before="120" w:after="120"/>
              <w:rPr>
                <w:rFonts w:ascii="Aptos" w:eastAsia="Times New Roman" w:hAnsi="Aptos" w:cs="Times New Roman"/>
                <w:color w:val="000000"/>
                <w:kern w:val="0"/>
                <w:sz w:val="20"/>
                <w:szCs w:val="20"/>
                <w:lang w:val="en-GB" w:eastAsia="en-GB"/>
                <w14:ligatures w14:val="none"/>
              </w:rPr>
            </w:pPr>
            <w:r w:rsidRPr="008A26A0">
              <w:rPr>
                <w:sz w:val="20"/>
                <w:szCs w:val="21"/>
              </w:rPr>
              <w:t xml:space="preserve">Registry of issued GHG permits published at official </w:t>
            </w:r>
            <w:proofErr w:type="spellStart"/>
            <w:r w:rsidRPr="008A26A0">
              <w:rPr>
                <w:sz w:val="20"/>
                <w:szCs w:val="21"/>
              </w:rPr>
              <w:t>MoEP</w:t>
            </w:r>
            <w:proofErr w:type="spellEnd"/>
            <w:r w:rsidRPr="008A26A0">
              <w:rPr>
                <w:sz w:val="20"/>
                <w:szCs w:val="21"/>
              </w:rPr>
              <w:t xml:space="preserve"> website</w:t>
            </w:r>
            <w:r>
              <w:rPr>
                <w:sz w:val="20"/>
                <w:szCs w:val="21"/>
              </w:rPr>
              <w:t>, or a specially designated website</w:t>
            </w:r>
            <w:r w:rsidRPr="008A26A0">
              <w:rPr>
                <w:sz w:val="20"/>
                <w:szCs w:val="21"/>
              </w:rPr>
              <w:t>.</w:t>
            </w:r>
          </w:p>
        </w:tc>
      </w:tr>
    </w:tbl>
    <w:p w14:paraId="3335D8AB" w14:textId="77777777" w:rsidR="009D1644" w:rsidRPr="002C702E" w:rsidRDefault="009D1644" w:rsidP="009D1644">
      <w:pPr>
        <w:rPr>
          <w:lang w:val="en-GB"/>
        </w:rPr>
      </w:pPr>
    </w:p>
    <w:p w14:paraId="33C5DC88" w14:textId="77777777" w:rsidR="009D1644" w:rsidRPr="002C702E" w:rsidRDefault="009D1644" w:rsidP="009D1644">
      <w:pPr>
        <w:pStyle w:val="Heading1"/>
        <w:numPr>
          <w:ilvl w:val="0"/>
          <w:numId w:val="1"/>
        </w:numPr>
        <w:rPr>
          <w:lang w:val="en-GB"/>
        </w:rPr>
      </w:pPr>
      <w:r w:rsidRPr="002C702E">
        <w:rPr>
          <w:lang w:val="en-GB"/>
        </w:rPr>
        <w:t>Analysis</w:t>
      </w:r>
    </w:p>
    <w:p w14:paraId="48AA2107" w14:textId="77777777" w:rsidR="009D1644" w:rsidRPr="002C702E" w:rsidRDefault="009D1644" w:rsidP="009D1644">
      <w:pPr>
        <w:rPr>
          <w:lang w:val="en-GB"/>
        </w:rPr>
      </w:pPr>
    </w:p>
    <w:tbl>
      <w:tblPr>
        <w:tblStyle w:val="GridTable1Light"/>
        <w:tblW w:w="0" w:type="auto"/>
        <w:tblLook w:val="0480" w:firstRow="0" w:lastRow="0" w:firstColumn="1" w:lastColumn="0" w:noHBand="0" w:noVBand="1"/>
      </w:tblPr>
      <w:tblGrid>
        <w:gridCol w:w="2263"/>
        <w:gridCol w:w="6753"/>
      </w:tblGrid>
      <w:tr w:rsidR="009D1644" w:rsidRPr="002C702E" w14:paraId="11F319D4"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1C1D84B"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44938B6A" w14:textId="77777777" w:rsidR="009D1644" w:rsidRPr="00FC4B87" w:rsidRDefault="009D1644" w:rsidP="009C6824">
            <w:pPr>
              <w:pStyle w:val="Compact"/>
              <w:jc w:val="both"/>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Since the legal framework has been established in the baseline, consisting of</w:t>
            </w:r>
            <w:r w:rsidRPr="00D7131B">
              <w:rPr>
                <w:sz w:val="20"/>
                <w:szCs w:val="21"/>
              </w:rPr>
              <w:t xml:space="preserve"> Climate Change Law </w:t>
            </w:r>
            <w:r>
              <w:rPr>
                <w:sz w:val="20"/>
                <w:szCs w:val="21"/>
              </w:rPr>
              <w:t>and</w:t>
            </w:r>
            <w:r w:rsidRPr="00D7131B">
              <w:rPr>
                <w:sz w:val="20"/>
                <w:szCs w:val="21"/>
              </w:rPr>
              <w:t xml:space="preserve"> enabling by</w:t>
            </w:r>
            <w:r w:rsidRPr="00D7131B">
              <w:rPr>
                <w:rFonts w:ascii="Cambria Math" w:hAnsi="Cambria Math" w:cs="Cambria Math"/>
                <w:sz w:val="20"/>
                <w:szCs w:val="21"/>
              </w:rPr>
              <w:t>‑</w:t>
            </w:r>
            <w:r w:rsidRPr="00D7131B">
              <w:rPr>
                <w:sz w:val="20"/>
                <w:szCs w:val="21"/>
              </w:rPr>
              <w:t>laws covering</w:t>
            </w:r>
            <w:r>
              <w:rPr>
                <w:sz w:val="20"/>
                <w:szCs w:val="21"/>
              </w:rPr>
              <w:t>:</w:t>
            </w:r>
            <w:r w:rsidRPr="00D7131B">
              <w:rPr>
                <w:sz w:val="20"/>
                <w:szCs w:val="21"/>
              </w:rPr>
              <w:t xml:space="preserve"> (a) scope (activities and gases), (b) monitoring/reporting rules aligned to MMRR, (c) verification/accreditation rules</w:t>
            </w:r>
            <w:r>
              <w:rPr>
                <w:sz w:val="20"/>
                <w:szCs w:val="21"/>
              </w:rPr>
              <w:t>, it is necessary to further implement and operationalize all components of the MRVA system. For that reason, the following milestones are defined:</w:t>
            </w:r>
          </w:p>
          <w:p w14:paraId="6B583700" w14:textId="77777777" w:rsidR="009D1644" w:rsidRDefault="009D1644" w:rsidP="009C6824">
            <w:pPr>
              <w:pStyle w:val="Compact"/>
              <w:cnfStyle w:val="000000000000" w:firstRow="0" w:lastRow="0" w:firstColumn="0" w:lastColumn="0" w:oddVBand="0" w:evenVBand="0" w:oddHBand="0" w:evenHBand="0" w:firstRowFirstColumn="0" w:firstRowLastColumn="0" w:lastRowFirstColumn="0" w:lastRowLastColumn="0"/>
              <w:rPr>
                <w:sz w:val="20"/>
                <w:szCs w:val="21"/>
              </w:rPr>
            </w:pPr>
          </w:p>
          <w:p w14:paraId="3242DE82" w14:textId="77777777" w:rsidR="009D1644" w:rsidRPr="00D7131B" w:rsidRDefault="009D1644" w:rsidP="009C6824">
            <w:pPr>
              <w:pStyle w:val="Compact"/>
              <w:numPr>
                <w:ilvl w:val="0"/>
                <w:numId w:val="5"/>
              </w:numPr>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lang w:val="en-US"/>
              </w:rPr>
              <w:t xml:space="preserve">Operational readiness of the MRVA system </w:t>
            </w:r>
            <w:proofErr w:type="gramStart"/>
            <w:r w:rsidRPr="00FC4B87">
              <w:rPr>
                <w:sz w:val="20"/>
                <w:szCs w:val="21"/>
                <w:lang w:val="en-US"/>
              </w:rPr>
              <w:t>established</w:t>
            </w:r>
            <w:r>
              <w:rPr>
                <w:sz w:val="20"/>
                <w:szCs w:val="21"/>
                <w:lang w:val="en-US"/>
              </w:rPr>
              <w:t>;</w:t>
            </w:r>
            <w:proofErr w:type="gramEnd"/>
          </w:p>
          <w:p w14:paraId="4A5EDD18" w14:textId="77777777" w:rsidR="009D1644" w:rsidRPr="00FC4B87" w:rsidRDefault="009D1644" w:rsidP="009C6824">
            <w:pPr>
              <w:pStyle w:val="Compact"/>
              <w:numPr>
                <w:ilvl w:val="0"/>
                <w:numId w:val="5"/>
              </w:numPr>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rPr>
              <w:t xml:space="preserve">Issuance of GHG permits with approved monitoring </w:t>
            </w:r>
            <w:proofErr w:type="gramStart"/>
            <w:r w:rsidRPr="00FC4B87">
              <w:rPr>
                <w:sz w:val="20"/>
                <w:szCs w:val="21"/>
              </w:rPr>
              <w:t>plans</w:t>
            </w:r>
            <w:r>
              <w:rPr>
                <w:sz w:val="20"/>
                <w:szCs w:val="21"/>
              </w:rPr>
              <w:t>;</w:t>
            </w:r>
            <w:proofErr w:type="gramEnd"/>
          </w:p>
          <w:p w14:paraId="3454C094" w14:textId="77777777" w:rsidR="009D1644" w:rsidRPr="00FC4B87" w:rsidRDefault="009D1644" w:rsidP="009C6824">
            <w:pPr>
              <w:pStyle w:val="Compact"/>
              <w:numPr>
                <w:ilvl w:val="0"/>
                <w:numId w:val="5"/>
              </w:numPr>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lang w:val="en-US"/>
              </w:rPr>
              <w:t xml:space="preserve">Verification and accreditation system </w:t>
            </w:r>
            <w:proofErr w:type="gramStart"/>
            <w:r w:rsidRPr="00FC4B87">
              <w:rPr>
                <w:sz w:val="20"/>
                <w:szCs w:val="21"/>
                <w:lang w:val="en-US"/>
              </w:rPr>
              <w:t>operational</w:t>
            </w:r>
            <w:r>
              <w:rPr>
                <w:sz w:val="20"/>
                <w:szCs w:val="21"/>
                <w:lang w:val="en-US"/>
              </w:rPr>
              <w:t>;</w:t>
            </w:r>
            <w:proofErr w:type="gramEnd"/>
            <w:r w:rsidRPr="00FC4B87">
              <w:rPr>
                <w:sz w:val="20"/>
                <w:szCs w:val="21"/>
                <w:lang w:val="en-US"/>
              </w:rPr>
              <w:t xml:space="preserve"> </w:t>
            </w:r>
          </w:p>
          <w:p w14:paraId="326CC5F5" w14:textId="77777777" w:rsidR="009D1644" w:rsidRPr="00FC4B87" w:rsidRDefault="009D1644" w:rsidP="009C6824">
            <w:pPr>
              <w:pStyle w:val="Compact"/>
              <w:numPr>
                <w:ilvl w:val="0"/>
                <w:numId w:val="5"/>
              </w:numPr>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rPr>
              <w:t>Public registry of issued GHG permits available</w:t>
            </w:r>
            <w:r>
              <w:rPr>
                <w:sz w:val="20"/>
                <w:szCs w:val="21"/>
              </w:rPr>
              <w:t>.</w:t>
            </w:r>
          </w:p>
        </w:tc>
      </w:tr>
      <w:tr w:rsidR="009D1644" w:rsidRPr="002C702E" w14:paraId="3B9C85D0"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6329AFB"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achievement of each milestone</w:t>
            </w:r>
          </w:p>
        </w:tc>
        <w:tc>
          <w:tcPr>
            <w:tcW w:w="6753" w:type="dxa"/>
          </w:tcPr>
          <w:p w14:paraId="4E70552B" w14:textId="77777777" w:rsidR="009D1644" w:rsidRPr="00D7131B" w:rsidRDefault="009D1644"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lang w:val="en-US"/>
              </w:rPr>
              <w:t>Operational readiness of the MRVA system established</w:t>
            </w:r>
            <w:r>
              <w:rPr>
                <w:sz w:val="20"/>
                <w:szCs w:val="21"/>
                <w:lang w:val="en-US"/>
              </w:rPr>
              <w:t xml:space="preserve">: </w:t>
            </w:r>
            <w:r w:rsidRPr="007D12B4">
              <w:rPr>
                <w:sz w:val="20"/>
                <w:szCs w:val="21"/>
                <w:lang w:val="en-US"/>
              </w:rPr>
              <w:t>The competent authority designated under the Law on Climate Change</w:t>
            </w:r>
            <w:r>
              <w:rPr>
                <w:sz w:val="20"/>
                <w:szCs w:val="21"/>
                <w:lang w:val="en-US"/>
              </w:rPr>
              <w:t>, the Ministry of Environmental Protection,</w:t>
            </w:r>
            <w:r w:rsidRPr="007D12B4">
              <w:rPr>
                <w:sz w:val="20"/>
                <w:szCs w:val="21"/>
                <w:lang w:val="en-US"/>
              </w:rPr>
              <w:t xml:space="preserve"> is operational and applies procedures for the review of monitoring plans. The </w:t>
            </w:r>
            <w:proofErr w:type="spellStart"/>
            <w:r w:rsidRPr="007D12B4">
              <w:rPr>
                <w:sz w:val="20"/>
                <w:szCs w:val="21"/>
                <w:lang w:val="en-US"/>
              </w:rPr>
              <w:t>eGHG</w:t>
            </w:r>
            <w:proofErr w:type="spellEnd"/>
            <w:r w:rsidRPr="007D12B4">
              <w:rPr>
                <w:sz w:val="20"/>
                <w:szCs w:val="21"/>
                <w:lang w:val="en-US"/>
              </w:rPr>
              <w:t xml:space="preserve"> digital </w:t>
            </w:r>
            <w:r w:rsidRPr="007D12B4">
              <w:rPr>
                <w:sz w:val="20"/>
                <w:szCs w:val="21"/>
                <w:lang w:val="en-US"/>
              </w:rPr>
              <w:lastRenderedPageBreak/>
              <w:t>platform functions as the official system for submission and processing of monitoring plans and issuance of GHG permits. Training and guidance activities for covered operators and relevant institutions have been conducted</w:t>
            </w:r>
            <w:r>
              <w:rPr>
                <w:sz w:val="20"/>
                <w:szCs w:val="21"/>
                <w:lang w:val="en-US"/>
              </w:rPr>
              <w:t>.</w:t>
            </w:r>
            <w:r>
              <w:rPr>
                <w:rStyle w:val="FootnoteReference"/>
                <w:sz w:val="20"/>
                <w:szCs w:val="21"/>
                <w:lang w:val="en-US"/>
              </w:rPr>
              <w:footnoteReference w:id="1"/>
            </w:r>
          </w:p>
          <w:p w14:paraId="46801F1F" w14:textId="77777777" w:rsidR="009D1644" w:rsidRPr="00FC4B87" w:rsidRDefault="009D1644"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rPr>
              <w:t>Issuance of GHG permits with approved monitoring plans</w:t>
            </w:r>
            <w:r>
              <w:rPr>
                <w:sz w:val="20"/>
                <w:szCs w:val="21"/>
              </w:rPr>
              <w:t>; The process of issuance of GHG emission permits was initiated in October 2024. So far, a total of 97 permits with approved monitoring plan were issued.</w:t>
            </w:r>
            <w:r>
              <w:rPr>
                <w:rStyle w:val="FootnoteReference"/>
                <w:sz w:val="20"/>
                <w:szCs w:val="21"/>
              </w:rPr>
              <w:footnoteReference w:id="2"/>
            </w:r>
            <w:r>
              <w:rPr>
                <w:sz w:val="20"/>
                <w:szCs w:val="21"/>
              </w:rPr>
              <w:t xml:space="preserve"> </w:t>
            </w:r>
          </w:p>
          <w:p w14:paraId="3C36D38F" w14:textId="77777777" w:rsidR="009D1644" w:rsidRPr="00FC4B87" w:rsidRDefault="009D1644"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1"/>
              </w:rPr>
            </w:pPr>
            <w:r w:rsidRPr="00FC4B87">
              <w:rPr>
                <w:sz w:val="20"/>
                <w:szCs w:val="21"/>
                <w:lang w:val="en-US"/>
              </w:rPr>
              <w:t>Verification and accreditation system operational</w:t>
            </w:r>
            <w:r>
              <w:rPr>
                <w:sz w:val="20"/>
                <w:szCs w:val="21"/>
                <w:lang w:val="en-US"/>
              </w:rPr>
              <w:t>;</w:t>
            </w:r>
            <w:r w:rsidRPr="00FC4B87">
              <w:rPr>
                <w:sz w:val="20"/>
                <w:szCs w:val="21"/>
                <w:lang w:val="en-US"/>
              </w:rPr>
              <w:t xml:space="preserve"> </w:t>
            </w:r>
            <w:r w:rsidRPr="007D12B4">
              <w:rPr>
                <w:sz w:val="20"/>
                <w:szCs w:val="21"/>
                <w:lang w:val="en-US"/>
              </w:rPr>
              <w:t>The system for verification and accreditation of verifiers is operational, in line with the national transposition of Regulation (EU) 2018/2067.</w:t>
            </w:r>
            <w:r>
              <w:rPr>
                <w:sz w:val="20"/>
                <w:szCs w:val="21"/>
                <w:lang w:val="en-US"/>
              </w:rPr>
              <w:t xml:space="preserve"> The Accreditation Body of Serbia </w:t>
            </w:r>
            <w:r w:rsidRPr="007D12B4">
              <w:rPr>
                <w:sz w:val="20"/>
                <w:szCs w:val="21"/>
                <w:lang w:val="en-US"/>
              </w:rPr>
              <w:t>performs accreditation of verification bodies for GHG emission reports</w:t>
            </w:r>
            <w:r>
              <w:rPr>
                <w:sz w:val="20"/>
                <w:szCs w:val="21"/>
                <w:lang w:val="en-US"/>
              </w:rPr>
              <w:t>, ensuring full implementation of MRVA cycle. So far, 5 verifiers have been accredited.</w:t>
            </w:r>
            <w:r>
              <w:rPr>
                <w:rStyle w:val="FootnoteReference"/>
                <w:sz w:val="20"/>
                <w:szCs w:val="21"/>
                <w:lang w:val="en-US"/>
              </w:rPr>
              <w:footnoteReference w:id="3"/>
            </w:r>
            <w:r>
              <w:rPr>
                <w:sz w:val="20"/>
                <w:szCs w:val="21"/>
                <w:lang w:val="en-US"/>
              </w:rPr>
              <w:t xml:space="preserve"> </w:t>
            </w:r>
          </w:p>
          <w:p w14:paraId="1E5EF2FD" w14:textId="77777777" w:rsidR="009D1644" w:rsidRPr="00D7131B" w:rsidRDefault="009D1644" w:rsidP="009C6824">
            <w:pPr>
              <w:pStyle w:val="ListParagraph"/>
              <w:numPr>
                <w:ilvl w:val="0"/>
                <w:numId w:val="6"/>
              </w:numPr>
              <w:spacing w:after="200"/>
              <w:jc w:val="both"/>
              <w:cnfStyle w:val="000000000000" w:firstRow="0" w:lastRow="0" w:firstColumn="0" w:lastColumn="0" w:oddVBand="0" w:evenVBand="0" w:oddHBand="0" w:evenHBand="0" w:firstRowFirstColumn="0" w:firstRowLastColumn="0" w:lastRowFirstColumn="0" w:lastRowLastColumn="0"/>
              <w:rPr>
                <w:sz w:val="20"/>
                <w:szCs w:val="20"/>
              </w:rPr>
            </w:pPr>
            <w:r w:rsidRPr="00FC4B87">
              <w:rPr>
                <w:kern w:val="0"/>
                <w:sz w:val="20"/>
                <w:szCs w:val="21"/>
                <w14:ligatures w14:val="none"/>
              </w:rPr>
              <w:t>Public registry of issued GHG permits available</w:t>
            </w:r>
            <w:r>
              <w:rPr>
                <w:kern w:val="0"/>
                <w:sz w:val="20"/>
                <w:szCs w:val="21"/>
                <w14:ligatures w14:val="none"/>
              </w:rPr>
              <w:t xml:space="preserve">: </w:t>
            </w:r>
            <w:r w:rsidRPr="007D12B4">
              <w:rPr>
                <w:kern w:val="0"/>
                <w:sz w:val="20"/>
                <w:szCs w:val="21"/>
                <w14:ligatures w14:val="none"/>
              </w:rPr>
              <w:t xml:space="preserve">A public registry of issued GHG permits is </w:t>
            </w:r>
            <w:r>
              <w:rPr>
                <w:kern w:val="0"/>
                <w:sz w:val="20"/>
                <w:szCs w:val="21"/>
                <w14:ligatures w14:val="none"/>
              </w:rPr>
              <w:t>available on the e-GHG platform</w:t>
            </w:r>
            <w:r w:rsidRPr="007D12B4">
              <w:rPr>
                <w:kern w:val="0"/>
                <w:sz w:val="20"/>
                <w:szCs w:val="21"/>
                <w14:ligatures w14:val="none"/>
              </w:rPr>
              <w:t xml:space="preserve">, </w:t>
            </w:r>
            <w:r>
              <w:rPr>
                <w:kern w:val="0"/>
                <w:sz w:val="20"/>
                <w:szCs w:val="21"/>
                <w14:ligatures w14:val="none"/>
              </w:rPr>
              <w:t>and it is regularly updated with new issued permits.</w:t>
            </w:r>
            <w:r>
              <w:rPr>
                <w:rStyle w:val="FootnoteReference"/>
                <w:kern w:val="0"/>
                <w:sz w:val="20"/>
                <w:szCs w:val="21"/>
                <w14:ligatures w14:val="none"/>
              </w:rPr>
              <w:footnoteReference w:id="4"/>
            </w:r>
          </w:p>
        </w:tc>
      </w:tr>
      <w:tr w:rsidR="009D1644" w:rsidRPr="002C702E" w14:paraId="3F57A44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EC65559"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19C540E7" w14:textId="77777777" w:rsidR="009D1644" w:rsidRPr="00B951CB"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 xml:space="preserve">The issues in implementation were minimal, since the legislative and regulative framework were completed prior to the adopting of the Reform Agenda. </w:t>
            </w:r>
            <w:r w:rsidRPr="00B951CB">
              <w:rPr>
                <w:sz w:val="20"/>
                <w:szCs w:val="20"/>
              </w:rPr>
              <w:t>The dominant risk in this step is not</w:t>
            </w:r>
            <w:r>
              <w:rPr>
                <w:sz w:val="20"/>
                <w:szCs w:val="20"/>
              </w:rPr>
              <w:t xml:space="preserve">, </w:t>
            </w:r>
            <w:r w:rsidRPr="00B951CB">
              <w:rPr>
                <w:sz w:val="20"/>
                <w:szCs w:val="20"/>
              </w:rPr>
              <w:t>whether the competent authority approves monitoring plans</w:t>
            </w:r>
            <w:r>
              <w:rPr>
                <w:sz w:val="20"/>
                <w:szCs w:val="20"/>
              </w:rPr>
              <w:t xml:space="preserve"> (it does), </w:t>
            </w:r>
            <w:r w:rsidRPr="00B951CB">
              <w:rPr>
                <w:sz w:val="20"/>
                <w:szCs w:val="20"/>
              </w:rPr>
              <w:t>but whether public verifiability and downstream MRV</w:t>
            </w:r>
            <w:r>
              <w:rPr>
                <w:sz w:val="20"/>
                <w:szCs w:val="20"/>
              </w:rPr>
              <w:t>A</w:t>
            </w:r>
            <w:r w:rsidRPr="00B951CB">
              <w:rPr>
                <w:sz w:val="20"/>
                <w:szCs w:val="20"/>
              </w:rPr>
              <w:t xml:space="preserve"> cycles (annual reporting and third</w:t>
            </w:r>
            <w:r w:rsidRPr="00B951CB">
              <w:rPr>
                <w:rFonts w:ascii="Cambria Math" w:hAnsi="Cambria Math" w:cs="Cambria Math"/>
                <w:sz w:val="20"/>
                <w:szCs w:val="20"/>
              </w:rPr>
              <w:t>‑</w:t>
            </w:r>
            <w:r w:rsidRPr="00B951CB">
              <w:rPr>
                <w:sz w:val="20"/>
                <w:szCs w:val="20"/>
              </w:rPr>
              <w:t>party verification) become routine and transparent. Energy Community reporting confirms broad system establishment and that monitoring has begun for permit holders, but it also implies that full MRV</w:t>
            </w:r>
            <w:r>
              <w:rPr>
                <w:sz w:val="20"/>
                <w:szCs w:val="20"/>
              </w:rPr>
              <w:t>A</w:t>
            </w:r>
            <w:r w:rsidRPr="00B951CB">
              <w:rPr>
                <w:sz w:val="20"/>
                <w:szCs w:val="20"/>
              </w:rPr>
              <w:t xml:space="preserve"> maturity depends on upcoming reporting/verification cycles. </w:t>
            </w:r>
          </w:p>
        </w:tc>
      </w:tr>
      <w:tr w:rsidR="009D1644" w:rsidRPr="002C702E" w14:paraId="6959A1FF"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04600C6"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3898829F" w14:textId="77777777" w:rsidR="009D1644"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4DD7EDAB" w14:textId="77777777" w:rsidR="009D1644" w:rsidRPr="00232BA7"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232BA7">
              <w:rPr>
                <w:sz w:val="20"/>
                <w:szCs w:val="20"/>
              </w:rPr>
              <w:t xml:space="preserve">Strong on legal texts and </w:t>
            </w:r>
            <w:proofErr w:type="spellStart"/>
            <w:r w:rsidRPr="00232BA7">
              <w:rPr>
                <w:sz w:val="20"/>
                <w:szCs w:val="20"/>
              </w:rPr>
              <w:t>MoEP</w:t>
            </w:r>
            <w:proofErr w:type="spellEnd"/>
            <w:r w:rsidRPr="00232BA7">
              <w:rPr>
                <w:sz w:val="20"/>
                <w:szCs w:val="20"/>
              </w:rPr>
              <w:t xml:space="preserve"> public announcements regarding training and first permit issuance. </w:t>
            </w:r>
            <w:r>
              <w:rPr>
                <w:sz w:val="20"/>
                <w:szCs w:val="20"/>
              </w:rPr>
              <w:t>The list of accredited verifiers is available online, and the Accreditation Body of Serbia has conducted a transparent accreditation process, providing information to the broader public regularly.</w:t>
            </w:r>
            <w:r w:rsidRPr="00232BA7">
              <w:rPr>
                <w:sz w:val="20"/>
                <w:szCs w:val="20"/>
              </w:rPr>
              <w:t> </w:t>
            </w:r>
            <w:r w:rsidRPr="00CB0A26">
              <w:rPr>
                <w:sz w:val="20"/>
                <w:szCs w:val="20"/>
              </w:rPr>
              <w:t xml:space="preserve"> </w:t>
            </w:r>
            <w:r>
              <w:rPr>
                <w:sz w:val="20"/>
                <w:szCs w:val="20"/>
              </w:rPr>
              <w:t>P</w:t>
            </w:r>
            <w:r w:rsidRPr="00CB0A26">
              <w:rPr>
                <w:sz w:val="20"/>
                <w:szCs w:val="20"/>
              </w:rPr>
              <w:t>ublic register of GHG emission permits exists in Serbia, listing operators covered by the system and the corresponding permit numbers. However, the permits themselves cannot be accessed or downloaded, as the register only provides basic administrative information. Although not strictly required by the current framework, public access to the permits</w:t>
            </w:r>
            <w:r>
              <w:rPr>
                <w:sz w:val="20"/>
                <w:szCs w:val="20"/>
              </w:rPr>
              <w:t xml:space="preserve">, </w:t>
            </w:r>
            <w:r w:rsidRPr="00CB0A26">
              <w:rPr>
                <w:sz w:val="20"/>
                <w:szCs w:val="20"/>
              </w:rPr>
              <w:t>while protecting commercially sensitive data</w:t>
            </w:r>
            <w:r>
              <w:rPr>
                <w:sz w:val="20"/>
                <w:szCs w:val="20"/>
              </w:rPr>
              <w:t xml:space="preserve">, </w:t>
            </w:r>
            <w:r w:rsidRPr="00CB0A26">
              <w:rPr>
                <w:sz w:val="20"/>
                <w:szCs w:val="20"/>
              </w:rPr>
              <w:t>would improve transparency and public oversight of the system.</w:t>
            </w:r>
          </w:p>
          <w:p w14:paraId="6FC5A624" w14:textId="77777777" w:rsidR="009D1644"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0C8397EF" w14:textId="77777777" w:rsidR="009D1644" w:rsidRPr="00CB0A26"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Since the legal and regulatory framework was completed prior to the adoption of Reform Agenda, the ability of CSO and broader public participation was limited. The rest of milestones were rather technical, so no broader participation was required. </w:t>
            </w:r>
            <w:r w:rsidRPr="00CB0A26">
              <w:rPr>
                <w:sz w:val="20"/>
                <w:szCs w:val="20"/>
                <w:lang w:val="en-GB"/>
              </w:rPr>
              <w:t xml:space="preserve">Operators and relevant institutions were included through </w:t>
            </w:r>
            <w:proofErr w:type="spellStart"/>
            <w:r w:rsidRPr="00CB0A26">
              <w:rPr>
                <w:sz w:val="20"/>
                <w:szCs w:val="20"/>
                <w:lang w:val="en-GB"/>
              </w:rPr>
              <w:t>MoEP</w:t>
            </w:r>
            <w:proofErr w:type="spellEnd"/>
            <w:r w:rsidRPr="00CB0A26">
              <w:rPr>
                <w:rFonts w:ascii="Cambria Math" w:hAnsi="Cambria Math" w:cs="Cambria Math"/>
                <w:sz w:val="20"/>
                <w:szCs w:val="20"/>
                <w:lang w:val="en-GB"/>
              </w:rPr>
              <w:t>‑</w:t>
            </w:r>
            <w:r w:rsidRPr="00CB0A26">
              <w:rPr>
                <w:sz w:val="20"/>
                <w:szCs w:val="20"/>
                <w:lang w:val="en-GB"/>
              </w:rPr>
              <w:t>organised training</w:t>
            </w:r>
            <w:r>
              <w:rPr>
                <w:sz w:val="20"/>
                <w:szCs w:val="20"/>
                <w:lang w:val="en-GB"/>
              </w:rPr>
              <w:t xml:space="preserve">s and workshops. </w:t>
            </w:r>
            <w:r w:rsidRPr="00CB0A26">
              <w:rPr>
                <w:sz w:val="20"/>
                <w:szCs w:val="20"/>
                <w:lang w:val="en-GB"/>
              </w:rPr>
              <w:t xml:space="preserve">Broader public/civil society participation is not structurally required for permit </w:t>
            </w:r>
            <w:r w:rsidRPr="00CB0A26">
              <w:rPr>
                <w:sz w:val="20"/>
                <w:szCs w:val="20"/>
                <w:lang w:val="en-GB"/>
              </w:rPr>
              <w:lastRenderedPageBreak/>
              <w:t>approvals, but publication of registry data is a key accessibility pathway</w:t>
            </w:r>
            <w:r>
              <w:rPr>
                <w:sz w:val="20"/>
                <w:szCs w:val="20"/>
                <w:lang w:val="en-GB"/>
              </w:rPr>
              <w:t xml:space="preserve"> for further enhancement of transparency and inclusivity.</w:t>
            </w:r>
          </w:p>
          <w:p w14:paraId="2F687209"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54EB7E50" w14:textId="77777777" w:rsidR="009D1644" w:rsidRPr="002C702E"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CB0A26">
              <w:rPr>
                <w:sz w:val="20"/>
                <w:szCs w:val="20"/>
                <w:lang w:val="en-GB"/>
              </w:rPr>
              <w:t>The measures are proportionate to the intended purpose</w:t>
            </w:r>
            <w:r>
              <w:rPr>
                <w:sz w:val="20"/>
                <w:szCs w:val="20"/>
                <w:lang w:val="en-GB"/>
              </w:rPr>
              <w:t>. B</w:t>
            </w:r>
            <w:r w:rsidRPr="00CB0A26">
              <w:rPr>
                <w:sz w:val="20"/>
                <w:szCs w:val="20"/>
                <w:lang w:val="en-GB"/>
              </w:rPr>
              <w:t xml:space="preserve">uilding MRVA capacity as a precondition for </w:t>
            </w:r>
            <w:r>
              <w:rPr>
                <w:sz w:val="20"/>
                <w:szCs w:val="20"/>
                <w:lang w:val="en-GB"/>
              </w:rPr>
              <w:t>carbon pricing and eventual alignment with EU Emission Trading System (EU ETS)</w:t>
            </w:r>
            <w:r w:rsidRPr="00CB0A26">
              <w:rPr>
                <w:sz w:val="20"/>
                <w:szCs w:val="20"/>
                <w:lang w:val="en-GB"/>
              </w:rPr>
              <w:t xml:space="preserve">. </w:t>
            </w:r>
            <w:r w:rsidRPr="00485624">
              <w:rPr>
                <w:sz w:val="20"/>
                <w:szCs w:val="20"/>
                <w:lang w:val="en-GB"/>
              </w:rPr>
              <w:t>The framework applies to installations in scope defined by regulation and the Climate Change Law</w:t>
            </w:r>
            <w:r>
              <w:rPr>
                <w:sz w:val="20"/>
                <w:szCs w:val="20"/>
                <w:lang w:val="en-GB"/>
              </w:rPr>
              <w:t>.</w:t>
            </w:r>
            <w:r w:rsidRPr="00485624">
              <w:rPr>
                <w:sz w:val="20"/>
                <w:szCs w:val="20"/>
                <w:lang w:val="en-GB"/>
              </w:rPr>
              <w:t xml:space="preserve"> </w:t>
            </w:r>
            <w:r>
              <w:rPr>
                <w:sz w:val="20"/>
                <w:szCs w:val="20"/>
                <w:lang w:val="en-GB"/>
              </w:rPr>
              <w:t>N</w:t>
            </w:r>
            <w:r w:rsidRPr="00485624">
              <w:rPr>
                <w:sz w:val="20"/>
                <w:szCs w:val="20"/>
                <w:lang w:val="en-GB"/>
              </w:rPr>
              <w:t>o official evidence of selective exclusion from the legal obligation</w:t>
            </w:r>
            <w:r>
              <w:rPr>
                <w:sz w:val="20"/>
                <w:szCs w:val="20"/>
                <w:lang w:val="en-GB"/>
              </w:rPr>
              <w:t xml:space="preserve"> were found</w:t>
            </w:r>
            <w:r w:rsidRPr="00485624">
              <w:rPr>
                <w:sz w:val="20"/>
                <w:szCs w:val="20"/>
                <w:lang w:val="en-GB"/>
              </w:rPr>
              <w:t>, though actual coverage of all eligible installations is an operational question beyond the step’s minimum requirement.</w:t>
            </w:r>
          </w:p>
        </w:tc>
      </w:tr>
      <w:tr w:rsidR="009D1644" w:rsidRPr="002C702E" w14:paraId="09AEAD5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EA892CC"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141469D0"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6E2C11E6"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Pr>
                <w:sz w:val="20"/>
                <w:szCs w:val="20"/>
                <w:lang w:val="en-GB"/>
              </w:rPr>
              <w:t>Yes,</w:t>
            </w:r>
            <w:r w:rsidRPr="002C702E">
              <w:rPr>
                <w:sz w:val="20"/>
                <w:szCs w:val="20"/>
                <w:lang w:val="en-GB"/>
              </w:rPr>
              <w:t xml:space="preserve"> although not as listed in the Reform Agenda</w:t>
            </w:r>
            <w:r>
              <w:rPr>
                <w:sz w:val="20"/>
                <w:szCs w:val="20"/>
                <w:lang w:val="en-GB"/>
              </w:rPr>
              <w:t>.</w:t>
            </w:r>
          </w:p>
          <w:p w14:paraId="2BB78D62"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3BB7A093" w14:textId="77777777" w:rsidR="009D1644" w:rsidRPr="002C702E" w:rsidRDefault="009D1644"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0E97F52E" w14:textId="77777777" w:rsidR="009D1644" w:rsidRDefault="009D1644"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E-GHG portal, including the registry of issued permits</w:t>
            </w:r>
          </w:p>
          <w:p w14:paraId="76A5AE04" w14:textId="77777777" w:rsidR="009D1644" w:rsidRPr="002C702E" w:rsidRDefault="009D1644"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Website of National Accreditation Body of Serbia</w:t>
            </w:r>
          </w:p>
          <w:p w14:paraId="4D11B428"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3B39412B" w14:textId="77777777" w:rsidR="009D1644" w:rsidRDefault="009D1644"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7" w:history="1">
              <w:r w:rsidRPr="00D811CC">
                <w:rPr>
                  <w:rStyle w:val="Hyperlink"/>
                  <w:sz w:val="20"/>
                  <w:szCs w:val="20"/>
                  <w:lang w:val="en-GB"/>
                </w:rPr>
                <w:t>https://e-ghg-portal.ekologija.gov.rs/</w:t>
              </w:r>
            </w:hyperlink>
            <w:r>
              <w:rPr>
                <w:sz w:val="20"/>
                <w:szCs w:val="20"/>
                <w:lang w:val="en-GB"/>
              </w:rPr>
              <w:t xml:space="preserve"> </w:t>
            </w:r>
          </w:p>
          <w:p w14:paraId="1E85D1E9" w14:textId="77777777" w:rsidR="009D1644" w:rsidRDefault="009D1644"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D811CC">
                <w:rPr>
                  <w:rStyle w:val="Hyperlink"/>
                  <w:sz w:val="20"/>
                  <w:szCs w:val="20"/>
                  <w:lang w:val="en-GB"/>
                </w:rPr>
                <w:t>https://www.ats.rs/sr/vesti/2025/09/ats-dodelio-prve-akreditacije-telima-za-verifikaciju-izvestaja-o-emisijama-ghg</w:t>
              </w:r>
            </w:hyperlink>
            <w:r>
              <w:rPr>
                <w:sz w:val="20"/>
                <w:szCs w:val="20"/>
                <w:lang w:val="en-GB"/>
              </w:rPr>
              <w:t xml:space="preserve">  </w:t>
            </w:r>
          </w:p>
          <w:p w14:paraId="0ED28F78" w14:textId="77777777" w:rsidR="009D1644" w:rsidRDefault="009D1644"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D811CC">
                <w:rPr>
                  <w:rStyle w:val="Hyperlink"/>
                  <w:sz w:val="20"/>
                  <w:szCs w:val="20"/>
                  <w:lang w:val="en-GB"/>
                </w:rPr>
                <w:t>https://zelena-agenda.euzatebe.rs/en/news/ghg-emissions-monitoring-training-for-thermal-power-plants-and-inspectorates</w:t>
              </w:r>
            </w:hyperlink>
            <w:r>
              <w:rPr>
                <w:sz w:val="20"/>
                <w:szCs w:val="20"/>
                <w:lang w:val="en-GB"/>
              </w:rPr>
              <w:t xml:space="preserve"> </w:t>
            </w:r>
          </w:p>
          <w:p w14:paraId="4CEEA8DF" w14:textId="6F6B8E25" w:rsidR="009D1644" w:rsidRPr="00EB2443" w:rsidRDefault="009D1644"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D811CC">
                <w:rPr>
                  <w:rStyle w:val="Hyperlink"/>
                  <w:sz w:val="20"/>
                  <w:szCs w:val="20"/>
                  <w:lang w:val="en-GB"/>
                </w:rPr>
                <w:t>https://www.ekologija.gov.rs/saopstenja/vesti/izdata-prva-dozvola-za-emisije-gasova-sa-efektom-staklene-baste</w:t>
              </w:r>
            </w:hyperlink>
            <w:r>
              <w:rPr>
                <w:sz w:val="20"/>
                <w:szCs w:val="20"/>
                <w:lang w:val="en-GB"/>
              </w:rPr>
              <w:t xml:space="preserve"> </w:t>
            </w:r>
          </w:p>
          <w:p w14:paraId="7AD156F6"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4C022768" w14:textId="77777777" w:rsidR="009D1644" w:rsidRPr="002C702E" w:rsidRDefault="009D1644"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Websites were accessed on February 26, 11:06.</w:t>
            </w:r>
          </w:p>
        </w:tc>
      </w:tr>
      <w:tr w:rsidR="009D1644" w:rsidRPr="002C702E" w14:paraId="0CF5CB6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D3D371B" w14:textId="77777777" w:rsidR="009D1644" w:rsidRPr="002C702E" w:rsidRDefault="009D1644"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0077BF62" w14:textId="77777777" w:rsidR="009D1644" w:rsidRPr="00485624"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485624">
              <w:rPr>
                <w:sz w:val="20"/>
                <w:szCs w:val="20"/>
              </w:rPr>
              <w:t>Energy Community reporting concludes that Serbia has transposed core MRVA components (monitoring/reporting rulebook aligned with MMRR 2018/2066; verification/accreditation largely aligned with EU 2018/2067) and established a digital system supporting permitting and transparency.  The European Commission similarly notes progress (“advanced”) on MRVA acquis in its Serbia Report.  Taken together, the outputs are consistent with EU/Energy Community expectations for a candidate country preparing for carbon pricing/ETS, at least at the “MRVA readiness” stage.</w:t>
            </w:r>
          </w:p>
        </w:tc>
      </w:tr>
    </w:tbl>
    <w:p w14:paraId="4C88D5C2" w14:textId="77777777" w:rsidR="009D1644" w:rsidRPr="002C702E" w:rsidRDefault="009D1644" w:rsidP="009D1644">
      <w:pPr>
        <w:rPr>
          <w:lang w:val="en-GB"/>
        </w:rPr>
      </w:pPr>
    </w:p>
    <w:p w14:paraId="387D4051" w14:textId="77777777" w:rsidR="009D1644" w:rsidRPr="002C702E" w:rsidRDefault="009D1644" w:rsidP="009D1644">
      <w:pPr>
        <w:pStyle w:val="Heading1"/>
        <w:numPr>
          <w:ilvl w:val="0"/>
          <w:numId w:val="1"/>
        </w:numPr>
        <w:rPr>
          <w:lang w:val="en-GB"/>
        </w:rPr>
      </w:pPr>
      <w:r w:rsidRPr="002C702E">
        <w:rPr>
          <w:lang w:val="en-GB"/>
        </w:rPr>
        <w:t>Final assessment</w:t>
      </w:r>
    </w:p>
    <w:p w14:paraId="38193493" w14:textId="77777777" w:rsidR="009D1644" w:rsidRPr="002C702E" w:rsidRDefault="009D1644" w:rsidP="009D1644">
      <w:pPr>
        <w:rPr>
          <w:lang w:val="en-GB"/>
        </w:rPr>
      </w:pPr>
    </w:p>
    <w:tbl>
      <w:tblPr>
        <w:tblStyle w:val="GridTable1Light"/>
        <w:tblW w:w="0" w:type="auto"/>
        <w:tblLook w:val="0480" w:firstRow="0" w:lastRow="0" w:firstColumn="1" w:lastColumn="0" w:noHBand="0" w:noVBand="1"/>
      </w:tblPr>
      <w:tblGrid>
        <w:gridCol w:w="2263"/>
        <w:gridCol w:w="6753"/>
      </w:tblGrid>
      <w:tr w:rsidR="009D1644" w:rsidRPr="002C702E" w14:paraId="3E341869"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A02BA61" w14:textId="7929942D" w:rsidR="009D1644" w:rsidRPr="002C702E" w:rsidRDefault="009D1644" w:rsidP="009C6824">
            <w:pPr>
              <w:spacing w:before="60" w:after="60"/>
              <w:rPr>
                <w:sz w:val="20"/>
                <w:szCs w:val="20"/>
                <w:lang w:val="en-GB"/>
              </w:rPr>
            </w:pPr>
            <w:r w:rsidRPr="002C702E">
              <w:rPr>
                <w:sz w:val="20"/>
                <w:szCs w:val="20"/>
                <w:lang w:val="en-GB"/>
              </w:rPr>
              <w:t>Assess formal achievement</w:t>
            </w:r>
          </w:p>
        </w:tc>
        <w:tc>
          <w:tcPr>
            <w:tcW w:w="6753" w:type="dxa"/>
          </w:tcPr>
          <w:p w14:paraId="57003668" w14:textId="77777777" w:rsidR="009D1644" w:rsidRPr="002C702E"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Achieved</w:t>
            </w:r>
          </w:p>
        </w:tc>
      </w:tr>
      <w:tr w:rsidR="009D1644" w:rsidRPr="002C702E" w14:paraId="002A6B84"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F994BCF" w14:textId="77777777" w:rsidR="009D1644" w:rsidRPr="002C702E" w:rsidRDefault="009D1644" w:rsidP="009C6824">
            <w:pPr>
              <w:spacing w:before="60" w:after="60"/>
              <w:rPr>
                <w:sz w:val="20"/>
                <w:szCs w:val="20"/>
                <w:lang w:val="en-GB"/>
              </w:rPr>
            </w:pPr>
            <w:r w:rsidRPr="002C702E">
              <w:rPr>
                <w:sz w:val="20"/>
                <w:szCs w:val="20"/>
                <w:lang w:val="en-GB"/>
              </w:rPr>
              <w:t>Elaboration of final assessment</w:t>
            </w:r>
          </w:p>
        </w:tc>
        <w:tc>
          <w:tcPr>
            <w:tcW w:w="6753" w:type="dxa"/>
          </w:tcPr>
          <w:p w14:paraId="66FE31F8" w14:textId="77777777" w:rsidR="009D1644" w:rsidRDefault="009D1644" w:rsidP="009C6824">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485624">
              <w:rPr>
                <w:sz w:val="20"/>
                <w:szCs w:val="20"/>
                <w:lang w:val="en-GB"/>
              </w:rPr>
              <w:t>The competent authority is demonstrably approving monitoring plans (through GHG permits) under a legal framework aligned to key MRVA acquis elements, supported by digital</w:t>
            </w:r>
            <w:r>
              <w:rPr>
                <w:sz w:val="20"/>
                <w:szCs w:val="20"/>
                <w:lang w:val="en-GB"/>
              </w:rPr>
              <w:t>ization efforts</w:t>
            </w:r>
            <w:r w:rsidRPr="00485624">
              <w:rPr>
                <w:sz w:val="20"/>
                <w:szCs w:val="20"/>
                <w:lang w:val="en-GB"/>
              </w:rPr>
              <w:t xml:space="preserve"> and capacity building, meeting </w:t>
            </w:r>
            <w:r w:rsidRPr="00485624">
              <w:rPr>
                <w:sz w:val="20"/>
                <w:szCs w:val="20"/>
                <w:lang w:val="en-GB"/>
              </w:rPr>
              <w:lastRenderedPageBreak/>
              <w:t>the Reform Agenda step’s intent and minimum requirement by December 2025</w:t>
            </w:r>
            <w:r w:rsidRPr="00485624">
              <w:rPr>
                <w:i/>
                <w:iCs/>
                <w:sz w:val="20"/>
                <w:szCs w:val="20"/>
                <w:lang w:val="en-GB"/>
              </w:rPr>
              <w:t>.</w:t>
            </w:r>
          </w:p>
          <w:p w14:paraId="40CFD4FB" w14:textId="77777777" w:rsidR="009D1644" w:rsidRPr="003E583F" w:rsidRDefault="009D1644"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w:t>
            </w:r>
            <w:r w:rsidRPr="00EB2443">
              <w:rPr>
                <w:b/>
                <w:bCs/>
                <w:sz w:val="20"/>
                <w:szCs w:val="20"/>
                <w:lang w:val="en-GB"/>
              </w:rPr>
              <w:t>achieved</w:t>
            </w:r>
            <w:r>
              <w:rPr>
                <w:sz w:val="20"/>
                <w:szCs w:val="20"/>
                <w:lang w:val="en-GB"/>
              </w:rPr>
              <w:t xml:space="preserve">. </w:t>
            </w:r>
          </w:p>
        </w:tc>
      </w:tr>
    </w:tbl>
    <w:p w14:paraId="766B619E" w14:textId="77777777" w:rsidR="009D1644" w:rsidRDefault="009D1644" w:rsidP="009D1644"/>
    <w:p w14:paraId="108CF339" w14:textId="77777777" w:rsidR="009D1644" w:rsidRDefault="009D1644" w:rsidP="009D1644"/>
    <w:p w14:paraId="26B93F41"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5E44" w14:textId="77777777" w:rsidR="00EB71D2" w:rsidRDefault="00EB71D2" w:rsidP="009D1644">
      <w:r>
        <w:separator/>
      </w:r>
    </w:p>
  </w:endnote>
  <w:endnote w:type="continuationSeparator" w:id="0">
    <w:p w14:paraId="48F31946" w14:textId="77777777" w:rsidR="00EB71D2" w:rsidRDefault="00EB71D2" w:rsidP="009D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66C8" w14:textId="77777777" w:rsidR="00EB71D2" w:rsidRDefault="00EB71D2" w:rsidP="009D1644">
      <w:r>
        <w:separator/>
      </w:r>
    </w:p>
  </w:footnote>
  <w:footnote w:type="continuationSeparator" w:id="0">
    <w:p w14:paraId="48A38BC5" w14:textId="77777777" w:rsidR="00EB71D2" w:rsidRDefault="00EB71D2" w:rsidP="009D1644">
      <w:r>
        <w:continuationSeparator/>
      </w:r>
    </w:p>
  </w:footnote>
  <w:footnote w:id="1">
    <w:p w14:paraId="745BEA61" w14:textId="77777777" w:rsidR="009D1644" w:rsidRDefault="009D1644" w:rsidP="009D1644">
      <w:pPr>
        <w:pStyle w:val="FootnoteText"/>
      </w:pPr>
      <w:r>
        <w:rPr>
          <w:rStyle w:val="FootnoteReference"/>
        </w:rPr>
        <w:footnoteRef/>
      </w:r>
      <w:r>
        <w:t xml:space="preserve"> </w:t>
      </w:r>
      <w:hyperlink r:id="rId1" w:history="1">
        <w:r w:rsidRPr="00DD5194">
          <w:rPr>
            <w:rStyle w:val="Hyperlink"/>
          </w:rPr>
          <w:t>https://zelena-agenda.euzatebe.rs/en/news/ghg-emissions-monitoring-training-for-thermal-power-plants-and-inspectorates</w:t>
        </w:r>
      </w:hyperlink>
      <w:r>
        <w:t xml:space="preserve"> (accessed on 26 </w:t>
      </w:r>
      <w:proofErr w:type="gramStart"/>
      <w:r>
        <w:t>February,</w:t>
      </w:r>
      <w:proofErr w:type="gramEnd"/>
      <w:r>
        <w:t xml:space="preserve"> 2026).</w:t>
      </w:r>
    </w:p>
  </w:footnote>
  <w:footnote w:id="2">
    <w:p w14:paraId="053B92F0" w14:textId="77777777" w:rsidR="009D1644" w:rsidRDefault="009D1644" w:rsidP="009D1644">
      <w:pPr>
        <w:pStyle w:val="FootnoteText"/>
      </w:pPr>
      <w:r>
        <w:rPr>
          <w:rStyle w:val="FootnoteReference"/>
        </w:rPr>
        <w:footnoteRef/>
      </w:r>
      <w:r>
        <w:t xml:space="preserve"> </w:t>
      </w:r>
      <w:hyperlink r:id="rId2" w:history="1">
        <w:r w:rsidRPr="00DD5194">
          <w:rPr>
            <w:rStyle w:val="Hyperlink"/>
          </w:rPr>
          <w:t>https://e-ghg-portal.ekologija.gov.rs/</w:t>
        </w:r>
      </w:hyperlink>
      <w:r>
        <w:t xml:space="preserve"> (accessed on 26 </w:t>
      </w:r>
      <w:proofErr w:type="gramStart"/>
      <w:r>
        <w:t>February,</w:t>
      </w:r>
      <w:proofErr w:type="gramEnd"/>
      <w:r>
        <w:t xml:space="preserve"> 2026).</w:t>
      </w:r>
    </w:p>
  </w:footnote>
  <w:footnote w:id="3">
    <w:p w14:paraId="5980B2DD" w14:textId="77777777" w:rsidR="009D1644" w:rsidRDefault="009D1644" w:rsidP="009D1644">
      <w:pPr>
        <w:pStyle w:val="FootnoteText"/>
      </w:pPr>
      <w:r>
        <w:rPr>
          <w:rStyle w:val="FootnoteReference"/>
        </w:rPr>
        <w:footnoteRef/>
      </w:r>
      <w:r>
        <w:t xml:space="preserve"> </w:t>
      </w:r>
      <w:hyperlink r:id="rId3" w:history="1">
        <w:r w:rsidRPr="00DD5194">
          <w:rPr>
            <w:rStyle w:val="Hyperlink"/>
          </w:rPr>
          <w:t>https://www.ats.rs/sr/vesti/2025/09/ats-dodelio-prve-akreditacije-telima-za-verifikaciju-izvestaja-o-emisijama-ghg</w:t>
        </w:r>
      </w:hyperlink>
      <w:r>
        <w:t xml:space="preserve"> (accessed on 26 </w:t>
      </w:r>
      <w:proofErr w:type="gramStart"/>
      <w:r>
        <w:t>February,</w:t>
      </w:r>
      <w:proofErr w:type="gramEnd"/>
      <w:r>
        <w:t xml:space="preserve"> 2026).</w:t>
      </w:r>
    </w:p>
  </w:footnote>
  <w:footnote w:id="4">
    <w:p w14:paraId="395AB289" w14:textId="77777777" w:rsidR="009D1644" w:rsidRDefault="009D1644" w:rsidP="009D1644">
      <w:pPr>
        <w:pStyle w:val="FootnoteText"/>
      </w:pPr>
      <w:r>
        <w:rPr>
          <w:rStyle w:val="FootnoteReference"/>
        </w:rPr>
        <w:footnoteRef/>
      </w:r>
      <w:r>
        <w:t xml:space="preserve"> </w:t>
      </w:r>
      <w:hyperlink r:id="rId4" w:history="1">
        <w:r w:rsidRPr="00DD5194">
          <w:rPr>
            <w:rStyle w:val="Hyperlink"/>
          </w:rPr>
          <w:t>https://e-ghg-portal.ekologija.gov.rs/</w:t>
        </w:r>
      </w:hyperlink>
      <w:r>
        <w:t xml:space="preserve"> (accessed on 26 </w:t>
      </w:r>
      <w:proofErr w:type="gramStart"/>
      <w:r>
        <w:t>February,</w:t>
      </w:r>
      <w:proofErr w:type="gramEnd"/>
      <w:r>
        <w:t xml:space="preserve"> 2026).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201"/>
    <w:multiLevelType w:val="multilevel"/>
    <w:tmpl w:val="76BA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496F86"/>
    <w:multiLevelType w:val="hybridMultilevel"/>
    <w:tmpl w:val="6072813E"/>
    <w:lvl w:ilvl="0" w:tplc="D23E2F64">
      <w:start w:val="1"/>
      <w:numFmt w:val="decimal"/>
      <w:lvlText w:val="%1."/>
      <w:lvlJc w:val="left"/>
      <w:pPr>
        <w:ind w:left="720" w:hanging="360"/>
      </w:pPr>
      <w:rPr>
        <w:rFonts w:asciiTheme="minorHAnsi" w:eastAsiaTheme="minorHAnsi" w:hAnsiTheme="minorHAnsi"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17218D"/>
    <w:multiLevelType w:val="hybridMultilevel"/>
    <w:tmpl w:val="996E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636317">
    <w:abstractNumId w:val="2"/>
  </w:num>
  <w:num w:numId="2" w16cid:durableId="1952586693">
    <w:abstractNumId w:val="3"/>
  </w:num>
  <w:num w:numId="3" w16cid:durableId="1488397419">
    <w:abstractNumId w:val="4"/>
  </w:num>
  <w:num w:numId="4" w16cid:durableId="277101163">
    <w:abstractNumId w:val="1"/>
  </w:num>
  <w:num w:numId="5" w16cid:durableId="254944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6865347">
    <w:abstractNumId w:val="6"/>
  </w:num>
  <w:num w:numId="7" w16cid:durableId="9449940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44"/>
    <w:rsid w:val="00075BF7"/>
    <w:rsid w:val="003B6E3A"/>
    <w:rsid w:val="004332F5"/>
    <w:rsid w:val="009D1644"/>
    <w:rsid w:val="00B36266"/>
    <w:rsid w:val="00E76CE8"/>
    <w:rsid w:val="00EB2443"/>
    <w:rsid w:val="00EB71D2"/>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62E2CA51"/>
  <w15:chartTrackingRefBased/>
  <w15:docId w15:val="{D623C04E-DE21-6E42-B96A-A3583809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644"/>
    <w:rPr>
      <w:lang w:val="en-US"/>
    </w:rPr>
  </w:style>
  <w:style w:type="paragraph" w:styleId="Heading1">
    <w:name w:val="heading 1"/>
    <w:basedOn w:val="Normal"/>
    <w:next w:val="Normal"/>
    <w:link w:val="Heading1Char"/>
    <w:uiPriority w:val="9"/>
    <w:qFormat/>
    <w:rsid w:val="009D1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1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16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16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16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16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6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6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6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16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16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16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16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16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6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6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644"/>
    <w:rPr>
      <w:rFonts w:eastAsiaTheme="majorEastAsia" w:cstheme="majorBidi"/>
      <w:color w:val="272727" w:themeColor="text1" w:themeTint="D8"/>
    </w:rPr>
  </w:style>
  <w:style w:type="paragraph" w:styleId="Title">
    <w:name w:val="Title"/>
    <w:basedOn w:val="Normal"/>
    <w:next w:val="Normal"/>
    <w:link w:val="TitleChar"/>
    <w:uiPriority w:val="10"/>
    <w:qFormat/>
    <w:rsid w:val="009D16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6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64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6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6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D1644"/>
    <w:rPr>
      <w:i/>
      <w:iCs/>
      <w:color w:val="404040" w:themeColor="text1" w:themeTint="BF"/>
    </w:rPr>
  </w:style>
  <w:style w:type="paragraph" w:styleId="ListParagraph">
    <w:name w:val="List Paragraph"/>
    <w:basedOn w:val="Normal"/>
    <w:uiPriority w:val="34"/>
    <w:qFormat/>
    <w:rsid w:val="009D1644"/>
    <w:pPr>
      <w:ind w:left="720"/>
      <w:contextualSpacing/>
    </w:pPr>
  </w:style>
  <w:style w:type="character" w:styleId="IntenseEmphasis">
    <w:name w:val="Intense Emphasis"/>
    <w:basedOn w:val="DefaultParagraphFont"/>
    <w:uiPriority w:val="21"/>
    <w:qFormat/>
    <w:rsid w:val="009D1644"/>
    <w:rPr>
      <w:i/>
      <w:iCs/>
      <w:color w:val="0F4761" w:themeColor="accent1" w:themeShade="BF"/>
    </w:rPr>
  </w:style>
  <w:style w:type="paragraph" w:styleId="IntenseQuote">
    <w:name w:val="Intense Quote"/>
    <w:basedOn w:val="Normal"/>
    <w:next w:val="Normal"/>
    <w:link w:val="IntenseQuoteChar"/>
    <w:uiPriority w:val="30"/>
    <w:qFormat/>
    <w:rsid w:val="009D1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1644"/>
    <w:rPr>
      <w:i/>
      <w:iCs/>
      <w:color w:val="0F4761" w:themeColor="accent1" w:themeShade="BF"/>
    </w:rPr>
  </w:style>
  <w:style w:type="character" w:styleId="IntenseReference">
    <w:name w:val="Intense Reference"/>
    <w:basedOn w:val="DefaultParagraphFont"/>
    <w:uiPriority w:val="32"/>
    <w:qFormat/>
    <w:rsid w:val="009D1644"/>
    <w:rPr>
      <w:b/>
      <w:bCs/>
      <w:smallCaps/>
      <w:color w:val="0F4761" w:themeColor="accent1" w:themeShade="BF"/>
      <w:spacing w:val="5"/>
    </w:rPr>
  </w:style>
  <w:style w:type="table" w:styleId="GridTable1Light">
    <w:name w:val="Grid Table 1 Light"/>
    <w:basedOn w:val="TableNormal"/>
    <w:uiPriority w:val="46"/>
    <w:rsid w:val="009D1644"/>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9D1644"/>
    <w:rPr>
      <w:sz w:val="20"/>
      <w:szCs w:val="20"/>
    </w:rPr>
  </w:style>
  <w:style w:type="character" w:customStyle="1" w:styleId="FootnoteTextChar">
    <w:name w:val="Footnote Text Char"/>
    <w:basedOn w:val="DefaultParagraphFont"/>
    <w:link w:val="FootnoteText"/>
    <w:uiPriority w:val="99"/>
    <w:semiHidden/>
    <w:rsid w:val="009D1644"/>
    <w:rPr>
      <w:sz w:val="20"/>
      <w:szCs w:val="20"/>
      <w:lang w:val="en-US"/>
    </w:rPr>
  </w:style>
  <w:style w:type="character" w:styleId="FootnoteReference">
    <w:name w:val="footnote reference"/>
    <w:basedOn w:val="DefaultParagraphFont"/>
    <w:uiPriority w:val="99"/>
    <w:semiHidden/>
    <w:unhideWhenUsed/>
    <w:rsid w:val="009D1644"/>
    <w:rPr>
      <w:vertAlign w:val="superscript"/>
    </w:rPr>
  </w:style>
  <w:style w:type="character" w:styleId="Hyperlink">
    <w:name w:val="Hyperlink"/>
    <w:basedOn w:val="DefaultParagraphFont"/>
    <w:uiPriority w:val="99"/>
    <w:unhideWhenUsed/>
    <w:rsid w:val="009D1644"/>
    <w:rPr>
      <w:color w:val="467886" w:themeColor="hyperlink"/>
      <w:u w:val="single"/>
    </w:rPr>
  </w:style>
  <w:style w:type="paragraph" w:customStyle="1" w:styleId="Compact">
    <w:name w:val="Compact"/>
    <w:basedOn w:val="BodyText"/>
    <w:qFormat/>
    <w:rsid w:val="009D1644"/>
    <w:pPr>
      <w:spacing w:before="36" w:after="36"/>
    </w:pPr>
    <w:rPr>
      <w:kern w:val="0"/>
      <w:lang w:val="en"/>
      <w14:ligatures w14:val="none"/>
    </w:rPr>
  </w:style>
  <w:style w:type="character" w:styleId="CommentReference">
    <w:name w:val="annotation reference"/>
    <w:basedOn w:val="DefaultParagraphFont"/>
    <w:uiPriority w:val="99"/>
    <w:semiHidden/>
    <w:unhideWhenUsed/>
    <w:rsid w:val="009D1644"/>
    <w:rPr>
      <w:sz w:val="16"/>
      <w:szCs w:val="16"/>
    </w:rPr>
  </w:style>
  <w:style w:type="paragraph" w:styleId="CommentText">
    <w:name w:val="annotation text"/>
    <w:basedOn w:val="Normal"/>
    <w:link w:val="CommentTextChar"/>
    <w:uiPriority w:val="99"/>
    <w:unhideWhenUsed/>
    <w:rsid w:val="009D1644"/>
    <w:rPr>
      <w:sz w:val="20"/>
      <w:szCs w:val="20"/>
    </w:rPr>
  </w:style>
  <w:style w:type="character" w:customStyle="1" w:styleId="CommentTextChar">
    <w:name w:val="Comment Text Char"/>
    <w:basedOn w:val="DefaultParagraphFont"/>
    <w:link w:val="CommentText"/>
    <w:uiPriority w:val="99"/>
    <w:rsid w:val="009D1644"/>
    <w:rPr>
      <w:sz w:val="20"/>
      <w:szCs w:val="20"/>
      <w:lang w:val="en-US"/>
    </w:rPr>
  </w:style>
  <w:style w:type="paragraph" w:styleId="BodyText">
    <w:name w:val="Body Text"/>
    <w:basedOn w:val="Normal"/>
    <w:link w:val="BodyTextChar"/>
    <w:uiPriority w:val="99"/>
    <w:semiHidden/>
    <w:unhideWhenUsed/>
    <w:rsid w:val="009D1644"/>
    <w:pPr>
      <w:spacing w:after="120"/>
    </w:pPr>
  </w:style>
  <w:style w:type="character" w:customStyle="1" w:styleId="BodyTextChar">
    <w:name w:val="Body Text Char"/>
    <w:basedOn w:val="DefaultParagraphFont"/>
    <w:link w:val="BodyText"/>
    <w:uiPriority w:val="99"/>
    <w:semiHidden/>
    <w:rsid w:val="009D164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ts.rs/sr/vesti/2025/09/ats-dodelio-prve-akreditacije-telima-za-verifikaciju-izvestaja-o-emisijama-ghg" TargetMode="External"/><Relationship Id="rId3" Type="http://schemas.openxmlformats.org/officeDocument/2006/relationships/settings" Target="settings.xml"/><Relationship Id="rId7" Type="http://schemas.openxmlformats.org/officeDocument/2006/relationships/hyperlink" Target="https://e-ghg-portal.ekologija.gov.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kologija.gov.rs/saopstenja/vesti/izdata-prva-dozvola-za-emisije-gasova-sa-efektom-staklene-baste" TargetMode="External"/><Relationship Id="rId4" Type="http://schemas.openxmlformats.org/officeDocument/2006/relationships/webSettings" Target="webSettings.xml"/><Relationship Id="rId9" Type="http://schemas.openxmlformats.org/officeDocument/2006/relationships/hyperlink" Target="https://zelena-agenda.euzatebe.rs/en/news/ghg-emissions-monitoring-training-for-thermal-power-plants-and-inspectorat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ts.rs/sr/vesti/2025/09/ats-dodelio-prve-akreditacije-telima-za-verifikaciju-izvestaja-o-emisijama-ghg" TargetMode="External"/><Relationship Id="rId2" Type="http://schemas.openxmlformats.org/officeDocument/2006/relationships/hyperlink" Target="https://e-ghg-portal.ekologija.gov.rs/" TargetMode="External"/><Relationship Id="rId1" Type="http://schemas.openxmlformats.org/officeDocument/2006/relationships/hyperlink" Target="https://zelena-agenda.euzatebe.rs/en/news/ghg-emissions-monitoring-training-for-thermal-power-plants-and-inspectorates" TargetMode="External"/><Relationship Id="rId4" Type="http://schemas.openxmlformats.org/officeDocument/2006/relationships/hyperlink" Target="https://e-ghg-portal.ekologija.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1117</Words>
  <Characters>7188</Characters>
  <Application>Microsoft Office Word</Application>
  <DocSecurity>0</DocSecurity>
  <Lines>179</Lines>
  <Paragraphs>76</Paragraphs>
  <ScaleCrop>false</ScaleCrop>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cp:revision>
  <dcterms:created xsi:type="dcterms:W3CDTF">2026-04-20T10:12:00Z</dcterms:created>
  <dcterms:modified xsi:type="dcterms:W3CDTF">2026-04-24T18:38:00Z</dcterms:modified>
</cp:coreProperties>
</file>